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08" w:rsidRPr="007730FE" w:rsidRDefault="00935808" w:rsidP="007338C9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935808">
        <w:rPr>
          <w:b/>
          <w:sz w:val="24"/>
          <w:szCs w:val="24"/>
          <w:lang w:val="en-US"/>
        </w:rPr>
        <w:t xml:space="preserve">Investment strategies relating R&amp;D and human capital during the crisis: </w:t>
      </w:r>
    </w:p>
    <w:p w:rsidR="00487970" w:rsidRDefault="00935808" w:rsidP="007338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935808">
        <w:rPr>
          <w:b/>
          <w:sz w:val="24"/>
          <w:szCs w:val="24"/>
          <w:lang w:val="en-US"/>
        </w:rPr>
        <w:t>impact</w:t>
      </w:r>
      <w:proofErr w:type="gramEnd"/>
      <w:r w:rsidRPr="00935808">
        <w:rPr>
          <w:b/>
          <w:sz w:val="24"/>
          <w:szCs w:val="24"/>
          <w:lang w:val="en-US"/>
        </w:rPr>
        <w:t xml:space="preserve"> on performance</w:t>
      </w:r>
      <w:r w:rsidRPr="00935808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</w:p>
    <w:p w:rsidR="00935808" w:rsidRPr="00935808" w:rsidRDefault="00935808" w:rsidP="007338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BA5" w:rsidRDefault="00056F2B" w:rsidP="0073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Theory and practice provide evidence that intangibles have crucial impact on companies’ performance (Lev, 2001). Due to their nature intangibles allow the companies to create sustainable competitive advantage</w:t>
      </w:r>
      <w:r w:rsidR="0025296A">
        <w:rPr>
          <w:rFonts w:ascii="Times New Roman" w:hAnsi="Times New Roman"/>
          <w:sz w:val="24"/>
          <w:szCs w:val="24"/>
          <w:lang w:val="en-US"/>
        </w:rPr>
        <w:t xml:space="preserve">. Drawing on literature review the authors argue that the major of studies and empirical investigations on intangibles’ employment consider the period of economic prosperity. Only few studies such as </w:t>
      </w:r>
      <w:proofErr w:type="spellStart"/>
      <w:r w:rsidR="0025296A" w:rsidRPr="002529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Filippetti</w:t>
      </w:r>
      <w:proofErr w:type="spellEnd"/>
      <w:r w:rsidR="0025296A" w:rsidRPr="002529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29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25296A" w:rsidRPr="002529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296A" w:rsidRPr="002529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Archibugi</w:t>
      </w:r>
      <w:proofErr w:type="spellEnd"/>
      <w:r w:rsidR="002529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2011;</w:t>
      </w:r>
      <w:r w:rsidR="0025296A" w:rsidRPr="002529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296A" w:rsidRPr="002529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Cincera</w:t>
      </w:r>
      <w:proofErr w:type="spellEnd"/>
      <w:r w:rsidR="0025296A">
        <w:rPr>
          <w:rFonts w:ascii="Times New Roman" w:hAnsi="Times New Roman"/>
          <w:sz w:val="24"/>
          <w:szCs w:val="24"/>
          <w:lang w:val="en-US"/>
        </w:rPr>
        <w:t xml:space="preserve"> et al., 2012; </w:t>
      </w:r>
      <w:proofErr w:type="spellStart"/>
      <w:r w:rsidR="0025296A">
        <w:rPr>
          <w:rFonts w:ascii="Times New Roman" w:hAnsi="Times New Roman"/>
          <w:sz w:val="24"/>
          <w:szCs w:val="24"/>
          <w:lang w:val="en-US"/>
        </w:rPr>
        <w:t>Archibugi</w:t>
      </w:r>
      <w:proofErr w:type="spellEnd"/>
      <w:r w:rsidR="0025296A">
        <w:rPr>
          <w:rFonts w:ascii="Times New Roman" w:hAnsi="Times New Roman"/>
          <w:sz w:val="24"/>
          <w:szCs w:val="24"/>
          <w:lang w:val="en-US"/>
        </w:rPr>
        <w:t xml:space="preserve"> et al., 2013 explore the impact of economic recession on managers’ decision concerning investment strategies relating intangibles.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41450" w:rsidRDefault="00993920" w:rsidP="0073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6457E">
        <w:rPr>
          <w:rFonts w:ascii="Times New Roman" w:hAnsi="Times New Roman"/>
          <w:sz w:val="24"/>
          <w:szCs w:val="24"/>
          <w:lang w:val="en-US"/>
        </w:rPr>
        <w:t>Th</w:t>
      </w:r>
      <w:r w:rsidR="0025296A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B6457E">
        <w:rPr>
          <w:rFonts w:ascii="Times New Roman" w:hAnsi="Times New Roman"/>
          <w:sz w:val="24"/>
          <w:szCs w:val="24"/>
          <w:lang w:val="en-US"/>
        </w:rPr>
        <w:t xml:space="preserve">paper explores the relationship between </w:t>
      </w:r>
      <w:r w:rsidR="00875111" w:rsidRPr="00B6457E">
        <w:rPr>
          <w:rFonts w:ascii="Times New Roman" w:hAnsi="Times New Roman"/>
          <w:sz w:val="24"/>
          <w:szCs w:val="24"/>
          <w:lang w:val="en-US"/>
        </w:rPr>
        <w:t>expenditures in intangibles changed due to economic crisis and companies’ performance.</w:t>
      </w:r>
      <w:r w:rsidR="00465AAE" w:rsidRPr="00B6457E">
        <w:rPr>
          <w:sz w:val="24"/>
          <w:szCs w:val="24"/>
          <w:lang w:val="en-US"/>
        </w:rPr>
        <w:t xml:space="preserve"> </w:t>
      </w:r>
      <w:r w:rsidR="00465AAE" w:rsidRPr="00B6457E">
        <w:rPr>
          <w:rFonts w:ascii="Times New Roman" w:hAnsi="Times New Roman" w:cs="Times New Roman"/>
          <w:sz w:val="24"/>
          <w:szCs w:val="24"/>
          <w:lang w:val="en-US"/>
        </w:rPr>
        <w:t xml:space="preserve">The paper </w:t>
      </w:r>
      <w:r w:rsidR="00B6457E" w:rsidRPr="00B6457E">
        <w:rPr>
          <w:rFonts w:ascii="Times New Roman" w:hAnsi="Times New Roman" w:cs="Times New Roman"/>
          <w:sz w:val="24"/>
          <w:szCs w:val="24"/>
          <w:lang w:val="en-US"/>
        </w:rPr>
        <w:t>provides empirical evidence of</w:t>
      </w:r>
      <w:r w:rsidR="00465AAE" w:rsidRPr="00B64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57E" w:rsidRPr="00B6457E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465AAE" w:rsidRPr="00B6457E">
        <w:rPr>
          <w:rFonts w:ascii="Times New Roman" w:hAnsi="Times New Roman" w:cs="Times New Roman"/>
          <w:sz w:val="24"/>
          <w:szCs w:val="24"/>
          <w:lang w:val="en-US"/>
        </w:rPr>
        <w:t xml:space="preserve">managers' decisions on input in intangibles during the crisis </w:t>
      </w:r>
      <w:r w:rsidR="00B6457E" w:rsidRPr="00B6457E">
        <w:rPr>
          <w:rFonts w:ascii="Times New Roman" w:hAnsi="Times New Roman" w:cs="Times New Roman"/>
          <w:sz w:val="24"/>
          <w:szCs w:val="24"/>
          <w:lang w:val="en-US"/>
        </w:rPr>
        <w:t xml:space="preserve">impact </w:t>
      </w:r>
      <w:r w:rsidR="00465AAE" w:rsidRPr="00B6457E">
        <w:rPr>
          <w:rFonts w:ascii="Times New Roman" w:hAnsi="Times New Roman" w:cs="Times New Roman"/>
          <w:sz w:val="24"/>
          <w:szCs w:val="24"/>
          <w:lang w:val="en-US"/>
        </w:rPr>
        <w:t xml:space="preserve">on intangibles' output and outcome in future. </w:t>
      </w:r>
      <w:r w:rsidRPr="00B6457E">
        <w:rPr>
          <w:rFonts w:ascii="Times New Roman" w:hAnsi="Times New Roman"/>
          <w:sz w:val="24"/>
          <w:szCs w:val="24"/>
          <w:lang w:val="en-US"/>
        </w:rPr>
        <w:t>The research question is: “What is beneficial for company: to reduce or to increase expenditures in intangibles over the crisis?”</w:t>
      </w:r>
      <w:r w:rsidR="00F944FE" w:rsidRPr="00F94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44FE">
        <w:rPr>
          <w:rFonts w:ascii="Times New Roman" w:hAnsi="Times New Roman"/>
          <w:sz w:val="24"/>
          <w:szCs w:val="24"/>
          <w:lang w:val="en-US"/>
        </w:rPr>
        <w:t>Each strategy has the risks but can provide future opportunities as well</w:t>
      </w:r>
      <w:r w:rsidR="002B598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2B5987" w:rsidRPr="002B59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Archibugi</w:t>
      </w:r>
      <w:proofErr w:type="spellEnd"/>
      <w:r w:rsidR="002B59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2013)</w:t>
      </w:r>
      <w:r w:rsidR="00F944FE">
        <w:rPr>
          <w:rFonts w:ascii="Times New Roman" w:hAnsi="Times New Roman"/>
          <w:sz w:val="24"/>
          <w:szCs w:val="24"/>
          <w:lang w:val="en-US"/>
        </w:rPr>
        <w:t>.</w:t>
      </w:r>
    </w:p>
    <w:p w:rsidR="002B5987" w:rsidRPr="00216F4A" w:rsidRDefault="00216F4A" w:rsidP="0073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authors of present paper make a proposition as follows: “</w:t>
      </w:r>
      <w:r w:rsidRPr="00216F4A">
        <w:rPr>
          <w:rFonts w:ascii="Times New Roman" w:hAnsi="Times New Roman"/>
          <w:i/>
          <w:sz w:val="24"/>
          <w:szCs w:val="24"/>
          <w:lang w:val="en-US"/>
        </w:rPr>
        <w:t>C</w:t>
      </w:r>
      <w:r w:rsidR="00795E7D" w:rsidRPr="00216F4A">
        <w:rPr>
          <w:rFonts w:ascii="Times New Roman" w:hAnsi="Times New Roman"/>
          <w:i/>
          <w:sz w:val="24"/>
          <w:szCs w:val="24"/>
          <w:lang w:val="en-US"/>
        </w:rPr>
        <w:t>ompanies that accumulate intangibles during the crisis benefit more than those who decide to decrease investment in intangibles</w:t>
      </w:r>
      <w:r w:rsidRPr="00216F4A">
        <w:rPr>
          <w:rFonts w:ascii="Times New Roman" w:hAnsi="Times New Roman"/>
          <w:i/>
          <w:sz w:val="24"/>
          <w:szCs w:val="24"/>
          <w:lang w:val="en-US"/>
        </w:rPr>
        <w:t>”</w:t>
      </w:r>
      <w:r w:rsidR="00795E7D" w:rsidRPr="00216F4A">
        <w:rPr>
          <w:rFonts w:ascii="Times New Roman" w:hAnsi="Times New Roman"/>
          <w:i/>
          <w:sz w:val="24"/>
          <w:szCs w:val="24"/>
          <w:lang w:val="en-US"/>
        </w:rPr>
        <w:t xml:space="preserve">.  </w:t>
      </w:r>
    </w:p>
    <w:p w:rsidR="00C63537" w:rsidRPr="00B96F1C" w:rsidRDefault="00DB0FC6" w:rsidP="0073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framework of this study among the intangibles the authors consider the key resources: R&amp;D and human capital. </w:t>
      </w:r>
      <w:r w:rsidR="00C63537" w:rsidRPr="00B6457E">
        <w:rPr>
          <w:rFonts w:ascii="Times New Roman" w:hAnsi="Times New Roman" w:cs="Times New Roman"/>
          <w:sz w:val="24"/>
          <w:szCs w:val="24"/>
          <w:lang w:val="en-US"/>
        </w:rPr>
        <w:t xml:space="preserve">The influence of intangibles on firm performance is described through chain: input-output-outcome. </w:t>
      </w:r>
    </w:p>
    <w:p w:rsidR="00C63537" w:rsidRDefault="004676B9" w:rsidP="004676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676B9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5847136" cy="2639833"/>
            <wp:effectExtent l="19050" t="76200" r="39314" b="8117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676B9" w:rsidRDefault="004676B9" w:rsidP="004676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Figure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>Input-output-outcome chain of intangibles</w:t>
      </w:r>
    </w:p>
    <w:p w:rsidR="007730FE" w:rsidRDefault="007730FE" w:rsidP="004676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3537" w:rsidRPr="004676B9" w:rsidRDefault="00C63537" w:rsidP="007338C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For econometric modeling t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>he authors consider two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>stage process which is described through three equations:</w:t>
      </w:r>
    </w:p>
    <w:p w:rsidR="00C63537" w:rsidRPr="00B96F1C" w:rsidRDefault="00C63537" w:rsidP="007338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F1C">
        <w:rPr>
          <w:rFonts w:ascii="Times New Roman" w:hAnsi="Times New Roman" w:cs="Times New Roman"/>
          <w:b/>
          <w:sz w:val="24"/>
          <w:szCs w:val="24"/>
          <w:lang w:val="en-US"/>
        </w:rPr>
        <w:t>Output equations: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</w:p>
    <w:p w:rsidR="00C63537" w:rsidRDefault="00C63537" w:rsidP="007338C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6F1C">
        <w:rPr>
          <w:rFonts w:ascii="Times New Roman" w:hAnsi="Times New Roman" w:cs="Times New Roman"/>
          <w:sz w:val="24"/>
          <w:szCs w:val="24"/>
          <w:lang w:val="en-US"/>
        </w:rPr>
        <w:t>Patents</w:t>
      </w:r>
      <w:r w:rsidRPr="00B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</w:t>
      </w:r>
      <w:r w:rsidRPr="00B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2013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B96F1C"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 w:rsidR="004676B9">
        <w:rPr>
          <w:rFonts w:ascii="Times New Roman" w:hAnsi="Times New Roman" w:cs="Times New Roman"/>
          <w:sz w:val="24"/>
          <w:szCs w:val="24"/>
          <w:lang w:val="en-US"/>
        </w:rPr>
        <w:t>change in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 xml:space="preserve"> R&amp;D</w:t>
      </w:r>
      <w:r w:rsidRPr="00B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2008-2009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>; IA/BV</w:t>
      </w:r>
      <w:r w:rsidRPr="00B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2008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 xml:space="preserve">; control variables); 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Productivity of employees</w:t>
      </w:r>
      <w:r w:rsidRPr="00B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</w:t>
      </w:r>
      <w:r w:rsidRPr="00B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2013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 xml:space="preserve"> = f(</w:t>
      </w:r>
      <w:r w:rsidR="004676B9">
        <w:rPr>
          <w:rFonts w:ascii="Times New Roman" w:hAnsi="Times New Roman" w:cs="Times New Roman"/>
          <w:sz w:val="24"/>
          <w:szCs w:val="24"/>
          <w:lang w:val="en-US"/>
        </w:rPr>
        <w:t xml:space="preserve">change 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>in employee cost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2008-2009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>; board of directors qualification; control variables</w:t>
      </w:r>
      <w:r w:rsidR="004676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</w:p>
    <w:p w:rsidR="00C63537" w:rsidRPr="00B96F1C" w:rsidRDefault="00C63537" w:rsidP="007338C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F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Outcome equation:   </w:t>
      </w:r>
    </w:p>
    <w:p w:rsidR="00C63537" w:rsidRPr="00B96F1C" w:rsidRDefault="00C63537" w:rsidP="007338C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96F1C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B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</w:t>
      </w:r>
      <w:r w:rsidRPr="00B96F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>atents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2010-2013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Productivity of employees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2010-2013</w:t>
      </w:r>
      <w:r w:rsidRPr="00B96F1C">
        <w:rPr>
          <w:rFonts w:ascii="Times New Roman" w:hAnsi="Times New Roman" w:cs="Times New Roman"/>
          <w:sz w:val="24"/>
          <w:szCs w:val="24"/>
          <w:lang w:val="en-US"/>
        </w:rPr>
        <w:t xml:space="preserve">, control variables) </w:t>
      </w:r>
    </w:p>
    <w:p w:rsidR="00412B0E" w:rsidRDefault="00C63537" w:rsidP="007338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empirical part of this study is conducted using database of 1650 public European companies. The dataset covers the period from 2008-2013 and includes five countries (UK, France, Germany, Italy and Spain); as well all industries. Table 1 presents the variety of managers’ decision on intangibles’ expenditures over the crisis. </w:t>
      </w:r>
      <w:r w:rsidR="00412B0E">
        <w:rPr>
          <w:rFonts w:ascii="Times New Roman" w:hAnsi="Times New Roman"/>
          <w:sz w:val="24"/>
          <w:szCs w:val="24"/>
          <w:lang w:val="en-US"/>
        </w:rPr>
        <w:t xml:space="preserve">The motivation of </w:t>
      </w:r>
      <w:r>
        <w:rPr>
          <w:rFonts w:ascii="Times New Roman" w:hAnsi="Times New Roman"/>
          <w:sz w:val="24"/>
          <w:szCs w:val="24"/>
          <w:lang w:val="en-US"/>
        </w:rPr>
        <w:t xml:space="preserve">this </w:t>
      </w:r>
      <w:r w:rsidR="00412B0E">
        <w:rPr>
          <w:rFonts w:ascii="Times New Roman" w:hAnsi="Times New Roman"/>
          <w:sz w:val="24"/>
          <w:szCs w:val="24"/>
          <w:lang w:val="en-US"/>
        </w:rPr>
        <w:t>study was induced through empirical evidence that</w:t>
      </w:r>
      <w:r w:rsidR="007067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1948">
        <w:rPr>
          <w:rFonts w:ascii="Times New Roman" w:hAnsi="Times New Roman"/>
          <w:sz w:val="24"/>
          <w:szCs w:val="24"/>
          <w:lang w:val="en-US"/>
        </w:rPr>
        <w:t>companies pursued different strategies.</w:t>
      </w:r>
    </w:p>
    <w:p w:rsidR="007067E8" w:rsidRPr="00B62883" w:rsidRDefault="007067E8" w:rsidP="007338C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2883">
        <w:rPr>
          <w:rFonts w:ascii="Times New Roman" w:hAnsi="Times New Roman" w:cs="Times New Roman"/>
          <w:sz w:val="24"/>
          <w:szCs w:val="24"/>
          <w:lang w:val="en-US"/>
        </w:rPr>
        <w:t>Table 1.</w:t>
      </w:r>
      <w:proofErr w:type="gramEnd"/>
      <w:r w:rsidRPr="00B62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B01" w:rsidRPr="00B62883">
        <w:rPr>
          <w:rFonts w:ascii="Times New Roman" w:hAnsi="Times New Roman" w:cs="Times New Roman"/>
          <w:sz w:val="24"/>
          <w:szCs w:val="24"/>
          <w:lang w:val="en-US"/>
        </w:rPr>
        <w:t>Growth rate of R&amp;D and employee expenses</w:t>
      </w:r>
      <w:r w:rsidR="00C63537">
        <w:rPr>
          <w:rFonts w:ascii="Times New Roman" w:hAnsi="Times New Roman" w:cs="Times New Roman"/>
          <w:sz w:val="24"/>
          <w:szCs w:val="24"/>
          <w:lang w:val="en-US"/>
        </w:rPr>
        <w:t xml:space="preserve"> over the crisis 2008-2009</w:t>
      </w:r>
    </w:p>
    <w:tbl>
      <w:tblPr>
        <w:tblW w:w="9464" w:type="dxa"/>
        <w:tblLook w:val="04A0"/>
      </w:tblPr>
      <w:tblGrid>
        <w:gridCol w:w="1172"/>
        <w:gridCol w:w="763"/>
        <w:gridCol w:w="918"/>
        <w:gridCol w:w="1063"/>
        <w:gridCol w:w="992"/>
        <w:gridCol w:w="1193"/>
        <w:gridCol w:w="1168"/>
        <w:gridCol w:w="1100"/>
        <w:gridCol w:w="1134"/>
      </w:tblGrid>
      <w:tr w:rsidR="007067E8" w:rsidRPr="00DB0FC6" w:rsidTr="00935808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67E8" w:rsidRPr="00DB0FC6" w:rsidRDefault="007067E8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Intangibles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67E8" w:rsidRPr="00DB0FC6" w:rsidRDefault="007067E8" w:rsidP="00D4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Descriptive statistic of growth rate  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67E8" w:rsidRPr="00DB0FC6" w:rsidRDefault="00D86B01" w:rsidP="00D8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Investment decision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67E8" w:rsidRPr="00DB0FC6" w:rsidRDefault="007067E8" w:rsidP="0070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t-test</w:t>
            </w:r>
          </w:p>
        </w:tc>
      </w:tr>
      <w:tr w:rsidR="00DB0FC6" w:rsidRPr="00DB0FC6" w:rsidTr="00935808">
        <w:trPr>
          <w:trHeight w:val="30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Mean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Median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Decrease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Increase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country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industry</w:t>
            </w:r>
          </w:p>
        </w:tc>
      </w:tr>
      <w:tr w:rsidR="00D86B01" w:rsidRPr="00DB0FC6" w:rsidTr="0093580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R&amp;D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13,3%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-3,9%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3496,5%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-100,0%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8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36.5%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63.5%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F=1.96 (0.13)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F=0.81 (0.56)</w:t>
            </w:r>
          </w:p>
        </w:tc>
      </w:tr>
      <w:tr w:rsidR="00D86B01" w:rsidRPr="00DB0FC6" w:rsidTr="00935808">
        <w:trPr>
          <w:trHeight w:val="30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Employee costs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5,0%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0,0%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4712,4%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-97,8%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23.8%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8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76.2%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F=0.18 (0.96)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B01" w:rsidRPr="00DB0FC6" w:rsidRDefault="00D86B01" w:rsidP="00D47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B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F=1.4 (0.23)</w:t>
            </w:r>
          </w:p>
        </w:tc>
      </w:tr>
    </w:tbl>
    <w:p w:rsidR="007067E8" w:rsidRPr="00DB0FC6" w:rsidRDefault="007067E8" w:rsidP="00B64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919C2" w:rsidRDefault="007730FE" w:rsidP="00DB0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authors performed t-test and found that country and industry effects are insignificant by managers’ decision on intangibles during the crisis.</w:t>
      </w:r>
    </w:p>
    <w:p w:rsidR="008967BD" w:rsidRDefault="007730FE" w:rsidP="00DB0F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econometric estimation the authors use the software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12” and apply structural equation modeling</w:t>
      </w:r>
      <w:r w:rsidR="00DB0FC6">
        <w:rPr>
          <w:rFonts w:ascii="Times New Roman" w:hAnsi="Times New Roman" w:cs="Times New Roman"/>
          <w:sz w:val="24"/>
          <w:szCs w:val="24"/>
          <w:lang w:val="en-US"/>
        </w:rPr>
        <w:t xml:space="preserve"> (SEM)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24BE">
        <w:rPr>
          <w:rFonts w:ascii="Times New Roman" w:hAnsi="Times New Roman" w:cs="Times New Roman"/>
          <w:sz w:val="24"/>
          <w:szCs w:val="24"/>
          <w:lang w:val="en-US"/>
        </w:rPr>
        <w:t xml:space="preserve"> The authors </w:t>
      </w:r>
      <w:r w:rsidR="00BF769F">
        <w:rPr>
          <w:rFonts w:ascii="Times New Roman" w:hAnsi="Times New Roman" w:cs="Times New Roman"/>
          <w:sz w:val="24"/>
          <w:szCs w:val="24"/>
          <w:lang w:val="en-US"/>
        </w:rPr>
        <w:t>control country, industry and size effects.</w:t>
      </w:r>
    </w:p>
    <w:p w:rsidR="007730FE" w:rsidRDefault="008967BD" w:rsidP="00DB0F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2 presents preliminary results of SEM estimations. </w:t>
      </w:r>
      <w:r w:rsidR="00204A9D">
        <w:rPr>
          <w:rFonts w:ascii="Times New Roman" w:hAnsi="Times New Roman" w:cs="Times New Roman"/>
          <w:sz w:val="24"/>
          <w:szCs w:val="24"/>
          <w:lang w:val="en-US"/>
        </w:rPr>
        <w:t xml:space="preserve">The values of RMSEA and R2 show that the model </w:t>
      </w:r>
      <w:r w:rsidR="00803D17">
        <w:rPr>
          <w:rFonts w:ascii="Times New Roman" w:hAnsi="Times New Roman" w:cs="Times New Roman"/>
          <w:sz w:val="24"/>
          <w:szCs w:val="24"/>
          <w:lang w:val="en-US"/>
        </w:rPr>
        <w:t xml:space="preserve">of “input-output-outcome chain of intangibles” </w:t>
      </w:r>
      <w:r w:rsidR="00204A9D">
        <w:rPr>
          <w:rFonts w:ascii="Times New Roman" w:hAnsi="Times New Roman" w:cs="Times New Roman"/>
          <w:sz w:val="24"/>
          <w:szCs w:val="24"/>
          <w:lang w:val="en-US"/>
        </w:rPr>
        <w:t xml:space="preserve">is valid and reliable. The positive impact on performance of </w:t>
      </w:r>
      <w:proofErr w:type="spellStart"/>
      <w:r w:rsidR="00204A9D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204A9D">
        <w:rPr>
          <w:rFonts w:ascii="Times New Roman" w:hAnsi="Times New Roman" w:cs="Times New Roman"/>
          <w:sz w:val="24"/>
          <w:szCs w:val="24"/>
          <w:lang w:val="en-US"/>
        </w:rPr>
        <w:t xml:space="preserve"> productivity was found. </w:t>
      </w:r>
      <w:r w:rsidR="007730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A9D">
        <w:rPr>
          <w:rFonts w:ascii="Times New Roman" w:hAnsi="Times New Roman" w:cs="Times New Roman"/>
          <w:sz w:val="24"/>
          <w:szCs w:val="24"/>
          <w:lang w:val="en-US"/>
        </w:rPr>
        <w:t>Contrary to our expectations the output of intangibles measured by number of patents appeared to be insignificant</w:t>
      </w:r>
      <w:r w:rsidR="00803D17">
        <w:rPr>
          <w:rFonts w:ascii="Times New Roman" w:hAnsi="Times New Roman" w:cs="Times New Roman"/>
          <w:sz w:val="24"/>
          <w:szCs w:val="24"/>
          <w:lang w:val="en-US"/>
        </w:rPr>
        <w:t xml:space="preserve"> for companies’ performance</w:t>
      </w:r>
      <w:r w:rsidR="00204A9D">
        <w:rPr>
          <w:rFonts w:ascii="Times New Roman" w:hAnsi="Times New Roman" w:cs="Times New Roman"/>
          <w:sz w:val="24"/>
          <w:szCs w:val="24"/>
          <w:lang w:val="en-US"/>
        </w:rPr>
        <w:t xml:space="preserve">. The hypothesis put forward in study was partly confirmed. </w:t>
      </w:r>
      <w:r w:rsidR="00803D17">
        <w:rPr>
          <w:rFonts w:ascii="Times New Roman" w:hAnsi="Times New Roman" w:cs="Times New Roman"/>
          <w:sz w:val="24"/>
          <w:szCs w:val="24"/>
          <w:lang w:val="en-US"/>
        </w:rPr>
        <w:t xml:space="preserve">The companies that accumulate intangibles during the crisis benefit more by increasing the output of intangibles. </w:t>
      </w:r>
      <w:r w:rsidR="001C24BE">
        <w:rPr>
          <w:rFonts w:ascii="Times New Roman" w:hAnsi="Times New Roman" w:cs="Times New Roman"/>
          <w:sz w:val="24"/>
          <w:szCs w:val="24"/>
          <w:lang w:val="en-US"/>
        </w:rPr>
        <w:t>This empirical evidence can be considered by decision making during the economic recession.</w:t>
      </w:r>
    </w:p>
    <w:p w:rsidR="007730FE" w:rsidRDefault="007730FE" w:rsidP="00DB0F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B0FC6" w:rsidRDefault="00DB0F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19C2" w:rsidRDefault="00C919C2" w:rsidP="00DB0F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Preliminary estimations with</w:t>
      </w:r>
      <w:r w:rsidR="00DB0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 methodology:</w:t>
      </w:r>
    </w:p>
    <w:p w:rsidR="007730FE" w:rsidRPr="007730FE" w:rsidRDefault="007730FE" w:rsidP="00DB0FC6">
      <w:pPr>
        <w:pStyle w:val="a3"/>
        <w:keepNext/>
        <w:spacing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7730FE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Table</w:t>
      </w:r>
      <w:r w:rsidRPr="007730F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967BD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2</w:t>
      </w:r>
      <w:r w:rsidRPr="007730FE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.</w:t>
      </w:r>
      <w:proofErr w:type="gramEnd"/>
      <w:r w:rsidRPr="007730FE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Preliminary results</w:t>
      </w:r>
    </w:p>
    <w:tbl>
      <w:tblPr>
        <w:tblStyle w:val="af"/>
        <w:tblpPr w:leftFromText="180" w:rightFromText="180" w:vertAnchor="text" w:tblpY="1"/>
        <w:tblOverlap w:val="never"/>
        <w:tblW w:w="9199" w:type="dxa"/>
        <w:tblLayout w:type="fixed"/>
        <w:tblLook w:val="04A0"/>
      </w:tblPr>
      <w:tblGrid>
        <w:gridCol w:w="2253"/>
        <w:gridCol w:w="549"/>
        <w:gridCol w:w="4838"/>
        <w:gridCol w:w="1559"/>
      </w:tblGrid>
      <w:tr w:rsidR="007730FE" w:rsidRPr="00324D12" w:rsidTr="007A7AB3">
        <w:trPr>
          <w:trHeight w:val="582"/>
          <w:tblHeader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Dependent variable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Independent variable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30FE" w:rsidRPr="00324D12" w:rsidRDefault="007730FE" w:rsidP="00B15727">
            <w:pPr>
              <w:jc w:val="center"/>
            </w:pPr>
            <w:r w:rsidRPr="00BC4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Standardized estimates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30FE" w:rsidRPr="00324D12" w:rsidRDefault="007730FE" w:rsidP="00773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EVA/Assets</w:t>
            </w:r>
          </w:p>
        </w:tc>
        <w:tc>
          <w:tcPr>
            <w:tcW w:w="639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730FE" w:rsidRPr="00324D12" w:rsidRDefault="007730FE" w:rsidP="00B15727"/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0FE" w:rsidRPr="00AD1BE3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</w:t>
            </w: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atents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AD1BE3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-0,011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773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Productivity </w:t>
            </w: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0,401***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0FE" w:rsidRPr="00AD1BE3" w:rsidRDefault="007730FE" w:rsidP="00B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 industry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0,142***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0FE" w:rsidRPr="00AD1BE3" w:rsidRDefault="007730FE" w:rsidP="00B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 (Number of employees)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ancial leverage (2008)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0FE" w:rsidRPr="00AD1BE3" w:rsidRDefault="007730FE" w:rsidP="00B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leverage (</w:t>
            </w:r>
            <w:r w:rsidRPr="00AD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0FE" w:rsidRPr="00AD1BE3" w:rsidRDefault="007730FE" w:rsidP="00B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intensity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-0,103***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-0,067*</w:t>
            </w:r>
          </w:p>
        </w:tc>
      </w:tr>
      <w:tr w:rsidR="007730FE" w:rsidRPr="00324D12" w:rsidTr="00B15727">
        <w:tc>
          <w:tcPr>
            <w:tcW w:w="76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B46B89" w:rsidRDefault="007730FE" w:rsidP="00B157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0,195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0FE" w:rsidRPr="00324D12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p</w:t>
            </w: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atents</w:t>
            </w:r>
          </w:p>
        </w:tc>
        <w:tc>
          <w:tcPr>
            <w:tcW w:w="6397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7730FE" w:rsidRPr="00324D12" w:rsidRDefault="007730FE" w:rsidP="00B15727"/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413E04" w:rsidRDefault="007730FE" w:rsidP="00B15727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lang w:val="en-US"/>
              </w:rPr>
            </w:pPr>
            <w:r w:rsidRPr="00413E0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lang w:val="el-GR"/>
              </w:rPr>
              <w:t>Δ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lang w:val="en-US"/>
              </w:rPr>
              <w:t xml:space="preserve"> R&amp;D_2008-</w:t>
            </w:r>
            <w:r w:rsidRPr="00413E0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lang w:val="en-US"/>
              </w:rPr>
              <w:t>2009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lang w:val="en-US"/>
              </w:rPr>
              <w:t>bin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413E04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0,034*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413E04" w:rsidRDefault="007730FE" w:rsidP="00B1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Intangible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1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ssets/BV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 industry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0,053**</w:t>
            </w:r>
          </w:p>
        </w:tc>
      </w:tr>
      <w:tr w:rsidR="007730FE" w:rsidRPr="00F223B3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52053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 (Number of employees)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0,47***</w:t>
            </w:r>
          </w:p>
        </w:tc>
      </w:tr>
      <w:tr w:rsidR="007730FE" w:rsidRPr="00F223B3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F223B3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Technological readiness</w:t>
            </w:r>
            <w:r w:rsidR="00BF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7730FE" w:rsidRPr="00F223B3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F223B3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size</w:t>
            </w:r>
            <w:r w:rsidR="00BF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7730FE" w:rsidRPr="00F223B3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</w:t>
            </w:r>
            <w:r w:rsidR="00BF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position of the 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-0,0012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-1,063</w:t>
            </w:r>
          </w:p>
        </w:tc>
      </w:tr>
      <w:tr w:rsidR="007730FE" w:rsidRPr="00324D12" w:rsidTr="00B15727">
        <w:tc>
          <w:tcPr>
            <w:tcW w:w="76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F223B3" w:rsidRDefault="007730FE" w:rsidP="00B157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0,235</w:t>
            </w:r>
          </w:p>
        </w:tc>
      </w:tr>
      <w:tr w:rsidR="007730FE" w:rsidRPr="00324D12" w:rsidTr="007A7AB3">
        <w:tc>
          <w:tcPr>
            <w:tcW w:w="28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0FE" w:rsidRPr="00324D12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30FE" w:rsidRPr="00413E04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A7AB3" w:rsidP="007A7A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Productivity of employees</w:t>
            </w:r>
          </w:p>
        </w:tc>
        <w:tc>
          <w:tcPr>
            <w:tcW w:w="63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eastAsia="en-US"/>
              </w:rPr>
            </w:pPr>
          </w:p>
        </w:tc>
      </w:tr>
      <w:tr w:rsidR="007730FE" w:rsidRPr="00413E04" w:rsidTr="007A7AB3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30FE" w:rsidRPr="00413E04" w:rsidRDefault="007730FE" w:rsidP="00B15727">
            <w:pPr>
              <w:pStyle w:val="af6"/>
              <w:rPr>
                <w:color w:val="000000" w:themeColor="text1"/>
                <w:kern w:val="24"/>
                <w:lang w:val="en-US"/>
              </w:rPr>
            </w:pPr>
            <w:r w:rsidRPr="00413E04">
              <w:rPr>
                <w:color w:val="000000" w:themeColor="text1"/>
                <w:kern w:val="24"/>
                <w:lang w:val="el-GR"/>
              </w:rPr>
              <w:t xml:space="preserve">Δ </w:t>
            </w:r>
            <w:r>
              <w:rPr>
                <w:color w:val="000000" w:themeColor="text1"/>
                <w:kern w:val="24"/>
                <w:lang w:val="en-US"/>
              </w:rPr>
              <w:t>Costs on employees_2008-2009</w:t>
            </w:r>
            <w:r w:rsidRPr="00413E04">
              <w:rPr>
                <w:color w:val="000000" w:themeColor="text1"/>
                <w:kern w:val="24"/>
                <w:lang w:val="en-US"/>
              </w:rPr>
              <w:t>_</w:t>
            </w:r>
            <w:r>
              <w:rPr>
                <w:color w:val="000000" w:themeColor="text1"/>
                <w:kern w:val="24"/>
                <w:lang w:val="en-US"/>
              </w:rPr>
              <w:t>bin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413E04" w:rsidRDefault="007730FE" w:rsidP="00B15727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>0,074***</w:t>
            </w:r>
          </w:p>
        </w:tc>
      </w:tr>
      <w:tr w:rsidR="007730FE" w:rsidRPr="00BC4E10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7F2A" w:rsidRDefault="007730FE" w:rsidP="00B15727">
            <w:pPr>
              <w:pStyle w:val="af6"/>
              <w:rPr>
                <w:color w:val="000000" w:themeColor="text1"/>
                <w:kern w:val="24"/>
                <w:lang w:val="en-US"/>
              </w:rPr>
            </w:pPr>
            <w:r>
              <w:rPr>
                <w:color w:val="000000" w:themeColor="text1"/>
                <w:kern w:val="24"/>
                <w:lang w:val="en-US"/>
              </w:rPr>
              <w:t>Board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876C11" w:rsidRDefault="007730FE" w:rsidP="00B15727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val="en-US"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>0,056**</w:t>
            </w:r>
          </w:p>
        </w:tc>
      </w:tr>
      <w:tr w:rsidR="007730FE" w:rsidRPr="00BC4E10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pStyle w:val="af6"/>
              <w:rPr>
                <w:color w:val="000000" w:themeColor="text1"/>
                <w:kern w:val="24"/>
                <w:lang w:val="en-US"/>
              </w:rPr>
            </w:pPr>
            <w:r>
              <w:rPr>
                <w:lang w:val="en-US"/>
              </w:rPr>
              <w:t>Manufacturing industry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876C11" w:rsidRDefault="007730FE" w:rsidP="00B15727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val="en-US"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>0,019</w:t>
            </w:r>
          </w:p>
        </w:tc>
      </w:tr>
      <w:tr w:rsidR="007730FE" w:rsidRPr="00F223B3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BC4E10" w:rsidRDefault="007730FE" w:rsidP="00B15727">
            <w:pPr>
              <w:pStyle w:val="af6"/>
              <w:rPr>
                <w:color w:val="000000" w:themeColor="text1"/>
                <w:kern w:val="24"/>
                <w:lang w:val="en-US"/>
              </w:rPr>
            </w:pPr>
            <w:r w:rsidRPr="00520532">
              <w:rPr>
                <w:color w:val="000000" w:themeColor="text1"/>
                <w:kern w:val="24"/>
                <w:lang w:val="en-US" w:eastAsia="en-US"/>
              </w:rPr>
              <w:t>Health and primary education</w:t>
            </w:r>
            <w:r w:rsidR="00BF769F">
              <w:rPr>
                <w:color w:val="000000" w:themeColor="text1"/>
                <w:kern w:val="24"/>
                <w:lang w:val="en-US" w:eastAsia="en-US"/>
              </w:rPr>
              <w:t xml:space="preserve"> of the 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Default="007730FE" w:rsidP="00B15727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>-0,112***</w:t>
            </w:r>
          </w:p>
        </w:tc>
      </w:tr>
      <w:tr w:rsidR="007730FE" w:rsidRPr="0052053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520532" w:rsidRDefault="007730FE" w:rsidP="00B15727">
            <w:pPr>
              <w:pStyle w:val="af6"/>
              <w:spacing w:before="0" w:beforeAutospacing="0" w:after="0" w:afterAutospacing="0"/>
              <w:rPr>
                <w:color w:val="000000" w:themeColor="text1"/>
                <w:kern w:val="24"/>
                <w:lang w:val="en-US" w:eastAsia="en-US"/>
              </w:rPr>
            </w:pPr>
            <w:r w:rsidRPr="00F223B3">
              <w:rPr>
                <w:color w:val="000000" w:themeColor="text1"/>
                <w:kern w:val="24"/>
                <w:lang w:val="en-US" w:eastAsia="en-US"/>
              </w:rPr>
              <w:t>Higher education and training</w:t>
            </w:r>
            <w:r w:rsidR="00BF769F">
              <w:rPr>
                <w:color w:val="000000" w:themeColor="text1"/>
                <w:kern w:val="24"/>
                <w:lang w:val="en-US" w:eastAsia="en-US"/>
              </w:rPr>
              <w:t xml:space="preserve"> of the 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413E04" w:rsidRDefault="007730FE" w:rsidP="00B15727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>-0,037</w:t>
            </w:r>
          </w:p>
        </w:tc>
      </w:tr>
      <w:tr w:rsidR="007730FE" w:rsidRPr="00520532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F223B3" w:rsidRDefault="007730FE" w:rsidP="00B15727">
            <w:pPr>
              <w:pStyle w:val="af6"/>
              <w:spacing w:before="0" w:beforeAutospacing="0" w:after="0" w:afterAutospacing="0"/>
              <w:rPr>
                <w:color w:val="000000" w:themeColor="text1"/>
                <w:kern w:val="24"/>
                <w:lang w:val="en-US" w:eastAsia="en-US"/>
              </w:rPr>
            </w:pPr>
            <w:r w:rsidRPr="00F223B3">
              <w:rPr>
                <w:color w:val="000000" w:themeColor="text1"/>
                <w:kern w:val="24"/>
                <w:lang w:val="en-US" w:eastAsia="en-US"/>
              </w:rPr>
              <w:t>Labor market efficiency</w:t>
            </w:r>
            <w:r w:rsidR="00BF769F">
              <w:rPr>
                <w:color w:val="000000" w:themeColor="text1"/>
                <w:kern w:val="24"/>
                <w:lang w:val="en-US" w:eastAsia="en-US"/>
              </w:rPr>
              <w:t xml:space="preserve"> of the country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413E04" w:rsidRDefault="007730FE" w:rsidP="00B15727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>0,088**</w:t>
            </w:r>
          </w:p>
        </w:tc>
      </w:tr>
      <w:tr w:rsidR="007730FE" w:rsidRPr="00F223B3" w:rsidTr="007A7AB3">
        <w:tc>
          <w:tcPr>
            <w:tcW w:w="28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16230B" w:rsidRDefault="007730FE" w:rsidP="00B15727">
            <w:pPr>
              <w:pStyle w:val="af6"/>
              <w:spacing w:before="0" w:beforeAutospacing="0" w:after="0" w:afterAutospacing="0"/>
              <w:rPr>
                <w:color w:val="000000" w:themeColor="text1"/>
                <w:kern w:val="24"/>
                <w:lang w:val="en-US" w:eastAsia="en-US"/>
              </w:rPr>
            </w:pPr>
            <w:r w:rsidRPr="00324D12">
              <w:rPr>
                <w:lang w:val="en-US"/>
              </w:rPr>
              <w:t>Cons.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Pr="00413E04" w:rsidRDefault="007730FE" w:rsidP="00B15727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eastAsia="en-US"/>
              </w:rPr>
            </w:pPr>
            <w:r>
              <w:t>9,15***</w:t>
            </w:r>
          </w:p>
        </w:tc>
      </w:tr>
      <w:tr w:rsidR="007730FE" w:rsidRPr="00F223B3" w:rsidTr="00B15727">
        <w:tc>
          <w:tcPr>
            <w:tcW w:w="76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Default="007730FE" w:rsidP="00B15727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val="en-US" w:eastAsia="en-US"/>
              </w:rPr>
            </w:pPr>
            <w:r w:rsidRPr="00324D12">
              <w:rPr>
                <w:lang w:val="en-US"/>
              </w:rPr>
              <w:t>R-squared</w:t>
            </w:r>
          </w:p>
        </w:tc>
        <w:tc>
          <w:tcPr>
            <w:tcW w:w="1559" w:type="dxa"/>
          </w:tcPr>
          <w:p w:rsidR="007730FE" w:rsidRPr="00413E04" w:rsidRDefault="007730FE" w:rsidP="00204A9D">
            <w:pPr>
              <w:pStyle w:val="af6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lang w:eastAsia="en-US"/>
              </w:rPr>
            </w:pPr>
            <w:r>
              <w:rPr>
                <w:i/>
              </w:rPr>
              <w:t>0,0</w:t>
            </w:r>
            <w:r w:rsidR="00204A9D">
              <w:rPr>
                <w:i/>
                <w:lang w:val="en-US"/>
              </w:rPr>
              <w:t>9</w:t>
            </w:r>
            <w:r>
              <w:rPr>
                <w:i/>
              </w:rPr>
              <w:t>7</w:t>
            </w:r>
          </w:p>
        </w:tc>
      </w:tr>
      <w:tr w:rsidR="007730FE" w:rsidRPr="00324D12" w:rsidTr="00B15727"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730FE" w:rsidRPr="00324D12" w:rsidRDefault="007730FE" w:rsidP="00B15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FE" w:rsidRPr="00324D12" w:rsidTr="00B15727"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RMSEA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9B43B5" w:rsidRDefault="007730FE" w:rsidP="00B157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0,058**</w:t>
            </w:r>
          </w:p>
        </w:tc>
      </w:tr>
      <w:tr w:rsidR="007730FE" w:rsidRPr="00324D12" w:rsidTr="00B15727">
        <w:trPr>
          <w:trHeight w:val="154"/>
        </w:trPr>
        <w:tc>
          <w:tcPr>
            <w:tcW w:w="76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30FE" w:rsidRPr="00324D12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Overall </w:t>
            </w:r>
            <w:r w:rsidRPr="0032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7730FE" w:rsidRPr="00324D12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0,278</w:t>
            </w:r>
          </w:p>
        </w:tc>
      </w:tr>
      <w:tr w:rsidR="007730FE" w:rsidRPr="00324D12" w:rsidTr="00B15727">
        <w:tc>
          <w:tcPr>
            <w:tcW w:w="76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30FE" w:rsidRPr="00324D12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observations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0FE" w:rsidRDefault="007730FE" w:rsidP="00B1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</w:tbl>
    <w:p w:rsidR="007730FE" w:rsidRDefault="007730FE" w:rsidP="00773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Significance levels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*** - 1%, ** - 5%, * - 10%.</w:t>
      </w:r>
    </w:p>
    <w:p w:rsidR="00C919C2" w:rsidRDefault="00C919C2" w:rsidP="00B96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919C2" w:rsidRDefault="00C919C2" w:rsidP="00B96F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919C2" w:rsidRDefault="00C919C2" w:rsidP="00C919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919C2" w:rsidRDefault="00C919C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C919C2" w:rsidSect="00D743D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215" w:rsidRDefault="00D74215" w:rsidP="00C95CA5">
      <w:pPr>
        <w:spacing w:after="0" w:line="240" w:lineRule="auto"/>
      </w:pPr>
      <w:r>
        <w:separator/>
      </w:r>
    </w:p>
  </w:endnote>
  <w:endnote w:type="continuationSeparator" w:id="0">
    <w:p w:rsidR="00D74215" w:rsidRDefault="00D74215" w:rsidP="00C9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10612"/>
      <w:docPartObj>
        <w:docPartGallery w:val="Page Numbers (Bottom of Page)"/>
        <w:docPartUnique/>
      </w:docPartObj>
    </w:sdtPr>
    <w:sdtContent>
      <w:p w:rsidR="00017166" w:rsidRDefault="005A48FC">
        <w:pPr>
          <w:pStyle w:val="af2"/>
          <w:jc w:val="right"/>
        </w:pPr>
        <w:fldSimple w:instr="PAGE   \* MERGEFORMAT">
          <w:r w:rsidR="00992EE4">
            <w:rPr>
              <w:noProof/>
            </w:rPr>
            <w:t>3</w:t>
          </w:r>
        </w:fldSimple>
      </w:p>
    </w:sdtContent>
  </w:sdt>
  <w:p w:rsidR="00017166" w:rsidRDefault="0001716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215" w:rsidRDefault="00D74215" w:rsidP="00C95CA5">
      <w:pPr>
        <w:spacing w:after="0" w:line="240" w:lineRule="auto"/>
      </w:pPr>
      <w:r>
        <w:separator/>
      </w:r>
    </w:p>
  </w:footnote>
  <w:footnote w:type="continuationSeparator" w:id="0">
    <w:p w:rsidR="00D74215" w:rsidRDefault="00D74215" w:rsidP="00C9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A45"/>
    <w:multiLevelType w:val="hybridMultilevel"/>
    <w:tmpl w:val="400C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219"/>
    <w:multiLevelType w:val="hybridMultilevel"/>
    <w:tmpl w:val="2F82E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2E7B68"/>
    <w:multiLevelType w:val="hybridMultilevel"/>
    <w:tmpl w:val="6A7A3282"/>
    <w:lvl w:ilvl="0" w:tplc="3BDE0E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C3CC3"/>
    <w:multiLevelType w:val="hybridMultilevel"/>
    <w:tmpl w:val="6D28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C7D5C"/>
    <w:multiLevelType w:val="hybridMultilevel"/>
    <w:tmpl w:val="400C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53E66"/>
    <w:multiLevelType w:val="hybridMultilevel"/>
    <w:tmpl w:val="240EAC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94FF6"/>
    <w:multiLevelType w:val="hybridMultilevel"/>
    <w:tmpl w:val="BF9EBA80"/>
    <w:lvl w:ilvl="0" w:tplc="4964D7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4E2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E3F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48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CBC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EE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ECC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050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AFC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8E18E5"/>
    <w:multiLevelType w:val="hybridMultilevel"/>
    <w:tmpl w:val="6DEC8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2FD3"/>
    <w:multiLevelType w:val="hybridMultilevel"/>
    <w:tmpl w:val="400C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567BC"/>
    <w:multiLevelType w:val="hybridMultilevel"/>
    <w:tmpl w:val="E06A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40085A"/>
    <w:multiLevelType w:val="hybridMultilevel"/>
    <w:tmpl w:val="F600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D3019"/>
    <w:multiLevelType w:val="hybridMultilevel"/>
    <w:tmpl w:val="0FD22C44"/>
    <w:lvl w:ilvl="0" w:tplc="8E921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35"/>
    <w:rsid w:val="00017166"/>
    <w:rsid w:val="00035220"/>
    <w:rsid w:val="00056F2B"/>
    <w:rsid w:val="00081A5B"/>
    <w:rsid w:val="000C47C1"/>
    <w:rsid w:val="000C7601"/>
    <w:rsid w:val="000F67AC"/>
    <w:rsid w:val="00101F7A"/>
    <w:rsid w:val="00116466"/>
    <w:rsid w:val="0011715C"/>
    <w:rsid w:val="00172AEF"/>
    <w:rsid w:val="0019437B"/>
    <w:rsid w:val="0019713D"/>
    <w:rsid w:val="001A0238"/>
    <w:rsid w:val="001C24BE"/>
    <w:rsid w:val="001D4484"/>
    <w:rsid w:val="001E40DD"/>
    <w:rsid w:val="001F5380"/>
    <w:rsid w:val="001F668D"/>
    <w:rsid w:val="00202144"/>
    <w:rsid w:val="00204A9D"/>
    <w:rsid w:val="00210B21"/>
    <w:rsid w:val="00214C71"/>
    <w:rsid w:val="00216F4A"/>
    <w:rsid w:val="0025296A"/>
    <w:rsid w:val="00254BB6"/>
    <w:rsid w:val="00292EDE"/>
    <w:rsid w:val="002B4F4C"/>
    <w:rsid w:val="002B5987"/>
    <w:rsid w:val="002D00A8"/>
    <w:rsid w:val="002D0901"/>
    <w:rsid w:val="002E1400"/>
    <w:rsid w:val="002F4061"/>
    <w:rsid w:val="003028E6"/>
    <w:rsid w:val="00306F94"/>
    <w:rsid w:val="0031724D"/>
    <w:rsid w:val="00321C04"/>
    <w:rsid w:val="00324D12"/>
    <w:rsid w:val="00346803"/>
    <w:rsid w:val="00362D89"/>
    <w:rsid w:val="003D2CFA"/>
    <w:rsid w:val="003D50BE"/>
    <w:rsid w:val="003E0B59"/>
    <w:rsid w:val="003F540C"/>
    <w:rsid w:val="004128A8"/>
    <w:rsid w:val="00412B0E"/>
    <w:rsid w:val="00412D83"/>
    <w:rsid w:val="00414D5A"/>
    <w:rsid w:val="00433084"/>
    <w:rsid w:val="004350C9"/>
    <w:rsid w:val="00460EA8"/>
    <w:rsid w:val="00461BA9"/>
    <w:rsid w:val="00464904"/>
    <w:rsid w:val="00465AAE"/>
    <w:rsid w:val="004676B9"/>
    <w:rsid w:val="00470D4D"/>
    <w:rsid w:val="0047337D"/>
    <w:rsid w:val="00487970"/>
    <w:rsid w:val="004D257D"/>
    <w:rsid w:val="004D3217"/>
    <w:rsid w:val="004E0D23"/>
    <w:rsid w:val="004E22B2"/>
    <w:rsid w:val="00541450"/>
    <w:rsid w:val="0054482D"/>
    <w:rsid w:val="00565FBB"/>
    <w:rsid w:val="00566128"/>
    <w:rsid w:val="0057505B"/>
    <w:rsid w:val="005A48FC"/>
    <w:rsid w:val="005A7AD6"/>
    <w:rsid w:val="005F0D01"/>
    <w:rsid w:val="006115E3"/>
    <w:rsid w:val="006426F4"/>
    <w:rsid w:val="006556F1"/>
    <w:rsid w:val="00660D45"/>
    <w:rsid w:val="00684BA5"/>
    <w:rsid w:val="00695FAD"/>
    <w:rsid w:val="006D686D"/>
    <w:rsid w:val="006F2EB9"/>
    <w:rsid w:val="007067E8"/>
    <w:rsid w:val="007338C9"/>
    <w:rsid w:val="007363F3"/>
    <w:rsid w:val="00747CA7"/>
    <w:rsid w:val="0075465B"/>
    <w:rsid w:val="007730FE"/>
    <w:rsid w:val="00795E7D"/>
    <w:rsid w:val="00796E24"/>
    <w:rsid w:val="007A795D"/>
    <w:rsid w:val="007A7AB3"/>
    <w:rsid w:val="007B219B"/>
    <w:rsid w:val="007C1948"/>
    <w:rsid w:val="007C4A45"/>
    <w:rsid w:val="007E61BD"/>
    <w:rsid w:val="007E750F"/>
    <w:rsid w:val="00803680"/>
    <w:rsid w:val="00803D17"/>
    <w:rsid w:val="008261AD"/>
    <w:rsid w:val="00826852"/>
    <w:rsid w:val="00846429"/>
    <w:rsid w:val="00875111"/>
    <w:rsid w:val="008762E1"/>
    <w:rsid w:val="00876659"/>
    <w:rsid w:val="00881DEB"/>
    <w:rsid w:val="008967BD"/>
    <w:rsid w:val="00896BD2"/>
    <w:rsid w:val="008B7FA1"/>
    <w:rsid w:val="008C3BA5"/>
    <w:rsid w:val="008D4635"/>
    <w:rsid w:val="00935808"/>
    <w:rsid w:val="00943B19"/>
    <w:rsid w:val="00960861"/>
    <w:rsid w:val="00962E73"/>
    <w:rsid w:val="009674A5"/>
    <w:rsid w:val="00992EE4"/>
    <w:rsid w:val="00993920"/>
    <w:rsid w:val="009B6580"/>
    <w:rsid w:val="009E224A"/>
    <w:rsid w:val="009F37F0"/>
    <w:rsid w:val="009F4BD3"/>
    <w:rsid w:val="00A10981"/>
    <w:rsid w:val="00A268AF"/>
    <w:rsid w:val="00A4550E"/>
    <w:rsid w:val="00A722BF"/>
    <w:rsid w:val="00A72977"/>
    <w:rsid w:val="00A75B7D"/>
    <w:rsid w:val="00A9013A"/>
    <w:rsid w:val="00A913DC"/>
    <w:rsid w:val="00A95D9B"/>
    <w:rsid w:val="00A97B5B"/>
    <w:rsid w:val="00AA3B22"/>
    <w:rsid w:val="00AB12D7"/>
    <w:rsid w:val="00AF5F06"/>
    <w:rsid w:val="00B400FE"/>
    <w:rsid w:val="00B557F5"/>
    <w:rsid w:val="00B62883"/>
    <w:rsid w:val="00B6427B"/>
    <w:rsid w:val="00B6457E"/>
    <w:rsid w:val="00B75AED"/>
    <w:rsid w:val="00B93D6B"/>
    <w:rsid w:val="00B96F1C"/>
    <w:rsid w:val="00BB5967"/>
    <w:rsid w:val="00BE52E9"/>
    <w:rsid w:val="00BE7A4E"/>
    <w:rsid w:val="00BF769F"/>
    <w:rsid w:val="00C019F4"/>
    <w:rsid w:val="00C05B92"/>
    <w:rsid w:val="00C307FD"/>
    <w:rsid w:val="00C32595"/>
    <w:rsid w:val="00C3461D"/>
    <w:rsid w:val="00C5199B"/>
    <w:rsid w:val="00C63537"/>
    <w:rsid w:val="00C67349"/>
    <w:rsid w:val="00C74B9A"/>
    <w:rsid w:val="00C84E07"/>
    <w:rsid w:val="00C90D39"/>
    <w:rsid w:val="00C919C2"/>
    <w:rsid w:val="00C95CA5"/>
    <w:rsid w:val="00C96228"/>
    <w:rsid w:val="00CA6D6F"/>
    <w:rsid w:val="00CB2043"/>
    <w:rsid w:val="00CD4809"/>
    <w:rsid w:val="00CD6EA0"/>
    <w:rsid w:val="00CE410F"/>
    <w:rsid w:val="00D22705"/>
    <w:rsid w:val="00D36160"/>
    <w:rsid w:val="00D52D4F"/>
    <w:rsid w:val="00D6285F"/>
    <w:rsid w:val="00D74215"/>
    <w:rsid w:val="00D743D5"/>
    <w:rsid w:val="00D86B01"/>
    <w:rsid w:val="00DA335D"/>
    <w:rsid w:val="00DA6DB2"/>
    <w:rsid w:val="00DB0FC6"/>
    <w:rsid w:val="00DB1C64"/>
    <w:rsid w:val="00DB239E"/>
    <w:rsid w:val="00DE3964"/>
    <w:rsid w:val="00DE6C81"/>
    <w:rsid w:val="00DF481A"/>
    <w:rsid w:val="00E03B50"/>
    <w:rsid w:val="00E04DC1"/>
    <w:rsid w:val="00E33801"/>
    <w:rsid w:val="00E36385"/>
    <w:rsid w:val="00E42395"/>
    <w:rsid w:val="00E8292C"/>
    <w:rsid w:val="00E854F7"/>
    <w:rsid w:val="00E9163A"/>
    <w:rsid w:val="00E95E67"/>
    <w:rsid w:val="00EC1DC7"/>
    <w:rsid w:val="00ED2C11"/>
    <w:rsid w:val="00EE739E"/>
    <w:rsid w:val="00EF6EB2"/>
    <w:rsid w:val="00F064BD"/>
    <w:rsid w:val="00F150AC"/>
    <w:rsid w:val="00F330AE"/>
    <w:rsid w:val="00F464D0"/>
    <w:rsid w:val="00F51588"/>
    <w:rsid w:val="00F53095"/>
    <w:rsid w:val="00F534F3"/>
    <w:rsid w:val="00F8736D"/>
    <w:rsid w:val="00F944FE"/>
    <w:rsid w:val="00FA6366"/>
    <w:rsid w:val="00FC18B5"/>
    <w:rsid w:val="00FD1DA8"/>
    <w:rsid w:val="00FE07EF"/>
    <w:rsid w:val="00FF2368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7D"/>
  </w:style>
  <w:style w:type="paragraph" w:styleId="1">
    <w:name w:val="heading 1"/>
    <w:basedOn w:val="a"/>
    <w:next w:val="a"/>
    <w:link w:val="10"/>
    <w:uiPriority w:val="9"/>
    <w:qFormat/>
    <w:rsid w:val="0057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661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DE6C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6C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6C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6C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6C8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C8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5199B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ac">
    <w:name w:val="footnote text"/>
    <w:basedOn w:val="a"/>
    <w:link w:val="ad"/>
    <w:uiPriority w:val="99"/>
    <w:semiHidden/>
    <w:unhideWhenUsed/>
    <w:rsid w:val="00C95CA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95CA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95CA5"/>
    <w:rPr>
      <w:vertAlign w:val="superscript"/>
    </w:rPr>
  </w:style>
  <w:style w:type="table" w:styleId="af">
    <w:name w:val="Table Grid"/>
    <w:basedOn w:val="a1"/>
    <w:uiPriority w:val="39"/>
    <w:rsid w:val="0030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1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16466"/>
  </w:style>
  <w:style w:type="paragraph" w:styleId="af2">
    <w:name w:val="footer"/>
    <w:basedOn w:val="a"/>
    <w:link w:val="af3"/>
    <w:uiPriority w:val="99"/>
    <w:unhideWhenUsed/>
    <w:rsid w:val="0011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16466"/>
  </w:style>
  <w:style w:type="character" w:customStyle="1" w:styleId="10">
    <w:name w:val="Заголовок 1 Знак"/>
    <w:basedOn w:val="a0"/>
    <w:link w:val="1"/>
    <w:uiPriority w:val="9"/>
    <w:rsid w:val="00575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2D00A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00A8"/>
    <w:pPr>
      <w:spacing w:after="100"/>
    </w:pPr>
  </w:style>
  <w:style w:type="character" w:styleId="af5">
    <w:name w:val="Hyperlink"/>
    <w:basedOn w:val="a0"/>
    <w:uiPriority w:val="99"/>
    <w:unhideWhenUsed/>
    <w:rsid w:val="002D00A8"/>
    <w:rPr>
      <w:color w:val="0563C1" w:themeColor="hyperlink"/>
      <w:u w:val="single"/>
    </w:rPr>
  </w:style>
  <w:style w:type="paragraph" w:styleId="af6">
    <w:name w:val="Normal (Web)"/>
    <w:basedOn w:val="a"/>
    <w:uiPriority w:val="99"/>
    <w:unhideWhenUsed/>
    <w:rsid w:val="00E95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9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2929">
                                                              <w:marLeft w:val="0"/>
                                                              <w:marRight w:val="125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79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3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8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52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06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3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06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66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1DA64B-82E4-416E-A3C1-26D5371541A0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9124AB-53C0-49A8-9974-5967E5B24607}">
      <dgm:prSet phldrT="[Текст]" custT="1"/>
      <dgm:spPr/>
      <dgm:t>
        <a:bodyPr/>
        <a:lstStyle/>
        <a:p>
          <a:r>
            <a:rPr lang="en-US" sz="1400"/>
            <a:t> </a:t>
          </a:r>
          <a:r>
            <a:rPr lang="en-US" sz="1200" b="1"/>
            <a:t>Input during the crisis</a:t>
          </a:r>
          <a:endParaRPr lang="ru-RU" sz="1200" b="1"/>
        </a:p>
      </dgm:t>
    </dgm:pt>
    <dgm:pt modelId="{EE9AB3A7-7D8C-44D3-8244-203BCC68CEC1}" type="parTrans" cxnId="{D3DB60E8-CE48-454D-8D10-92F2216A1824}">
      <dgm:prSet/>
      <dgm:spPr/>
      <dgm:t>
        <a:bodyPr/>
        <a:lstStyle/>
        <a:p>
          <a:endParaRPr lang="ru-RU"/>
        </a:p>
      </dgm:t>
    </dgm:pt>
    <dgm:pt modelId="{7FE1BEB4-0F8A-4862-A7A0-8E0E0832BDF5}" type="sibTrans" cxnId="{D3DB60E8-CE48-454D-8D10-92F2216A1824}">
      <dgm:prSet/>
      <dgm:spPr/>
      <dgm:t>
        <a:bodyPr/>
        <a:lstStyle/>
        <a:p>
          <a:endParaRPr lang="ru-RU"/>
        </a:p>
      </dgm:t>
    </dgm:pt>
    <dgm:pt modelId="{66EE57BE-01C2-4EAE-99FF-FB34E12E9F77}">
      <dgm:prSet phldrT="[Текст]" custT="1"/>
      <dgm:spPr/>
      <dgm:t>
        <a:bodyPr/>
        <a:lstStyle/>
        <a:p>
          <a:r>
            <a:rPr lang="en-US" sz="1200">
              <a:latin typeface="+mn-lt"/>
            </a:rPr>
            <a:t>Change in R&amp;D expenditures</a:t>
          </a:r>
          <a:endParaRPr lang="ru-RU" sz="1200">
            <a:latin typeface="+mn-lt"/>
          </a:endParaRPr>
        </a:p>
      </dgm:t>
    </dgm:pt>
    <dgm:pt modelId="{9595137F-84FB-46DE-83B7-ED0A651AEAA7}" type="parTrans" cxnId="{21F9DD87-392A-4FAF-AD1B-0332ECCA4253}">
      <dgm:prSet/>
      <dgm:spPr/>
      <dgm:t>
        <a:bodyPr/>
        <a:lstStyle/>
        <a:p>
          <a:endParaRPr lang="ru-RU"/>
        </a:p>
      </dgm:t>
    </dgm:pt>
    <dgm:pt modelId="{5C6052E9-615C-4BD1-B271-BDB605CD4331}" type="sibTrans" cxnId="{21F9DD87-392A-4FAF-AD1B-0332ECCA4253}">
      <dgm:prSet/>
      <dgm:spPr/>
      <dgm:t>
        <a:bodyPr/>
        <a:lstStyle/>
        <a:p>
          <a:endParaRPr lang="ru-RU"/>
        </a:p>
      </dgm:t>
    </dgm:pt>
    <dgm:pt modelId="{10B994D4-6E82-4A56-96AD-A6DE72910FE0}">
      <dgm:prSet phldrT="[Текст]" custT="1"/>
      <dgm:spPr/>
      <dgm:t>
        <a:bodyPr/>
        <a:lstStyle/>
        <a:p>
          <a:r>
            <a:rPr lang="en-US" sz="1200">
              <a:latin typeface="+mn-lt"/>
            </a:rPr>
            <a:t>Change in costs of employees</a:t>
          </a:r>
          <a:endParaRPr lang="ru-RU" sz="1200">
            <a:latin typeface="+mn-lt"/>
          </a:endParaRPr>
        </a:p>
      </dgm:t>
    </dgm:pt>
    <dgm:pt modelId="{938A5D06-CF63-4257-8920-B2C264D8F96B}" type="parTrans" cxnId="{EC891EF4-1948-4AC2-A104-2E4C1ABB02EB}">
      <dgm:prSet/>
      <dgm:spPr/>
      <dgm:t>
        <a:bodyPr/>
        <a:lstStyle/>
        <a:p>
          <a:endParaRPr lang="ru-RU"/>
        </a:p>
      </dgm:t>
    </dgm:pt>
    <dgm:pt modelId="{8F6FB4A9-8BDA-4980-A8C4-4C89DCADD52B}" type="sibTrans" cxnId="{EC891EF4-1948-4AC2-A104-2E4C1ABB02EB}">
      <dgm:prSet/>
      <dgm:spPr/>
      <dgm:t>
        <a:bodyPr/>
        <a:lstStyle/>
        <a:p>
          <a:endParaRPr lang="ru-RU"/>
        </a:p>
      </dgm:t>
    </dgm:pt>
    <dgm:pt modelId="{F8914A1A-C4AF-46E4-84F4-C4B10E378EA0}">
      <dgm:prSet phldrT="[Текст]" custT="1"/>
      <dgm:spPr/>
      <dgm:t>
        <a:bodyPr/>
        <a:lstStyle/>
        <a:p>
          <a:r>
            <a:rPr lang="en-US" sz="1200" b="1"/>
            <a:t>Output after the crisis</a:t>
          </a:r>
          <a:endParaRPr lang="ru-RU" sz="1200" b="1"/>
        </a:p>
      </dgm:t>
    </dgm:pt>
    <dgm:pt modelId="{A2DD4A59-56CF-4C77-BD93-773EB870A179}" type="parTrans" cxnId="{8D1889B3-80B6-4E61-9BD6-83CAA9AFF680}">
      <dgm:prSet/>
      <dgm:spPr/>
      <dgm:t>
        <a:bodyPr/>
        <a:lstStyle/>
        <a:p>
          <a:endParaRPr lang="ru-RU"/>
        </a:p>
      </dgm:t>
    </dgm:pt>
    <dgm:pt modelId="{3F09819D-0BF4-41F1-9D19-A132FD568DAF}" type="sibTrans" cxnId="{8D1889B3-80B6-4E61-9BD6-83CAA9AFF680}">
      <dgm:prSet/>
      <dgm:spPr/>
      <dgm:t>
        <a:bodyPr/>
        <a:lstStyle/>
        <a:p>
          <a:endParaRPr lang="ru-RU"/>
        </a:p>
      </dgm:t>
    </dgm:pt>
    <dgm:pt modelId="{8EA3B7CA-4894-45C7-8E5B-28A427120388}">
      <dgm:prSet phldrT="[Текст]" custT="1"/>
      <dgm:spPr/>
      <dgm:t>
        <a:bodyPr/>
        <a:lstStyle/>
        <a:p>
          <a:r>
            <a:rPr lang="en-US" sz="1200"/>
            <a:t>Number of patents</a:t>
          </a:r>
          <a:endParaRPr lang="ru-RU" sz="1200"/>
        </a:p>
      </dgm:t>
    </dgm:pt>
    <dgm:pt modelId="{BF05A4B9-46FB-4FDD-97B3-88D78A1141A6}" type="parTrans" cxnId="{45FAADA8-8331-4ACA-BD77-A5DF5CABA31B}">
      <dgm:prSet/>
      <dgm:spPr/>
      <dgm:t>
        <a:bodyPr/>
        <a:lstStyle/>
        <a:p>
          <a:endParaRPr lang="ru-RU"/>
        </a:p>
      </dgm:t>
    </dgm:pt>
    <dgm:pt modelId="{EF6F73E1-6385-4395-A24D-F308C3F0E9EB}" type="sibTrans" cxnId="{45FAADA8-8331-4ACA-BD77-A5DF5CABA31B}">
      <dgm:prSet/>
      <dgm:spPr/>
      <dgm:t>
        <a:bodyPr/>
        <a:lstStyle/>
        <a:p>
          <a:endParaRPr lang="ru-RU"/>
        </a:p>
      </dgm:t>
    </dgm:pt>
    <dgm:pt modelId="{3B3F7EED-2D47-4FD1-B80E-A8FDA8B63471}">
      <dgm:prSet phldrT="[Текст]" custT="1"/>
      <dgm:spPr/>
      <dgm:t>
        <a:bodyPr/>
        <a:lstStyle/>
        <a:p>
          <a:r>
            <a:rPr lang="en-US" sz="1200"/>
            <a:t>Productivity of employees </a:t>
          </a:r>
          <a:endParaRPr lang="ru-RU" sz="800"/>
        </a:p>
      </dgm:t>
    </dgm:pt>
    <dgm:pt modelId="{59173FA8-71C9-475D-8DF4-0CDB56FFFA49}" type="parTrans" cxnId="{E3A5622A-8678-4149-8BA3-211EA04DB4BF}">
      <dgm:prSet/>
      <dgm:spPr/>
      <dgm:t>
        <a:bodyPr/>
        <a:lstStyle/>
        <a:p>
          <a:endParaRPr lang="ru-RU"/>
        </a:p>
      </dgm:t>
    </dgm:pt>
    <dgm:pt modelId="{B62D686D-A2A1-4505-A32B-CE8CA80F4B08}" type="sibTrans" cxnId="{E3A5622A-8678-4149-8BA3-211EA04DB4BF}">
      <dgm:prSet/>
      <dgm:spPr/>
      <dgm:t>
        <a:bodyPr/>
        <a:lstStyle/>
        <a:p>
          <a:endParaRPr lang="ru-RU"/>
        </a:p>
      </dgm:t>
    </dgm:pt>
    <dgm:pt modelId="{10D227F4-B391-4908-B400-825DC79C4E84}">
      <dgm:prSet phldrT="[Текст]" custT="1"/>
      <dgm:spPr/>
      <dgm:t>
        <a:bodyPr/>
        <a:lstStyle/>
        <a:p>
          <a:r>
            <a:rPr lang="en-US" sz="1200" b="1"/>
            <a:t>Outcome after the crisis</a:t>
          </a:r>
          <a:endParaRPr lang="ru-RU" sz="1200" b="1"/>
        </a:p>
      </dgm:t>
    </dgm:pt>
    <dgm:pt modelId="{8C73549E-DF00-4B77-976D-74E7A667CCC6}" type="parTrans" cxnId="{09D9E4FC-B37A-4133-A4DA-001929A26798}">
      <dgm:prSet/>
      <dgm:spPr/>
      <dgm:t>
        <a:bodyPr/>
        <a:lstStyle/>
        <a:p>
          <a:endParaRPr lang="ru-RU"/>
        </a:p>
      </dgm:t>
    </dgm:pt>
    <dgm:pt modelId="{D117A6CF-4728-4590-98AD-B3717F453FCE}" type="sibTrans" cxnId="{09D9E4FC-B37A-4133-A4DA-001929A26798}">
      <dgm:prSet/>
      <dgm:spPr/>
      <dgm:t>
        <a:bodyPr/>
        <a:lstStyle/>
        <a:p>
          <a:endParaRPr lang="ru-RU"/>
        </a:p>
      </dgm:t>
    </dgm:pt>
    <dgm:pt modelId="{5915C204-063F-4297-8C10-26EDDDCAB23B}">
      <dgm:prSet phldrT="[Текст]" custT="1"/>
      <dgm:spPr/>
      <dgm:t>
        <a:bodyPr/>
        <a:lstStyle/>
        <a:p>
          <a:r>
            <a:rPr lang="en-US" sz="1200"/>
            <a:t>Economic Value Added</a:t>
          </a:r>
          <a:endParaRPr lang="ru-RU" sz="1200"/>
        </a:p>
      </dgm:t>
    </dgm:pt>
    <dgm:pt modelId="{E92C4853-C9E0-4071-B593-2A4FF0B22399}" type="parTrans" cxnId="{0AC037C9-0EB6-4962-B39C-6435B49F4B9F}">
      <dgm:prSet/>
      <dgm:spPr/>
      <dgm:t>
        <a:bodyPr/>
        <a:lstStyle/>
        <a:p>
          <a:endParaRPr lang="ru-RU"/>
        </a:p>
      </dgm:t>
    </dgm:pt>
    <dgm:pt modelId="{B1F61575-F4C9-4CF6-B5E0-C90488ABDC41}" type="sibTrans" cxnId="{0AC037C9-0EB6-4962-B39C-6435B49F4B9F}">
      <dgm:prSet/>
      <dgm:spPr/>
      <dgm:t>
        <a:bodyPr/>
        <a:lstStyle/>
        <a:p>
          <a:endParaRPr lang="ru-RU"/>
        </a:p>
      </dgm:t>
    </dgm:pt>
    <dgm:pt modelId="{0803F399-CB05-4CAA-9AF5-8C7932D40F30}">
      <dgm:prSet phldrT="[Текст]" custT="1"/>
      <dgm:spPr/>
      <dgm:t>
        <a:bodyPr/>
        <a:lstStyle/>
        <a:p>
          <a:endParaRPr lang="ru-RU" sz="1200"/>
        </a:p>
      </dgm:t>
    </dgm:pt>
    <dgm:pt modelId="{7867D736-1464-43B5-A950-848D3F8DA005}" type="parTrans" cxnId="{C5BB4CFD-8DE5-4709-9A53-544B8EE586EC}">
      <dgm:prSet/>
      <dgm:spPr/>
      <dgm:t>
        <a:bodyPr/>
        <a:lstStyle/>
        <a:p>
          <a:endParaRPr lang="ru-RU"/>
        </a:p>
      </dgm:t>
    </dgm:pt>
    <dgm:pt modelId="{DDF4841A-D16D-4EB1-8346-D1BFD7A2516F}" type="sibTrans" cxnId="{C5BB4CFD-8DE5-4709-9A53-544B8EE586EC}">
      <dgm:prSet/>
      <dgm:spPr/>
      <dgm:t>
        <a:bodyPr/>
        <a:lstStyle/>
        <a:p>
          <a:endParaRPr lang="ru-RU"/>
        </a:p>
      </dgm:t>
    </dgm:pt>
    <dgm:pt modelId="{3BBC965E-8CE7-4749-839B-72BDC35CC7C9}" type="pres">
      <dgm:prSet presAssocID="{741DA64B-82E4-416E-A3C1-26D5371541A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B09C99-154F-473D-A025-E379C07D3904}" type="pres">
      <dgm:prSet presAssocID="{741DA64B-82E4-416E-A3C1-26D5371541A0}" presName="tSp" presStyleCnt="0"/>
      <dgm:spPr/>
    </dgm:pt>
    <dgm:pt modelId="{032D5C0F-370A-4696-95B3-C3DA5E09F124}" type="pres">
      <dgm:prSet presAssocID="{741DA64B-82E4-416E-A3C1-26D5371541A0}" presName="bSp" presStyleCnt="0"/>
      <dgm:spPr/>
    </dgm:pt>
    <dgm:pt modelId="{D94B9F31-6AFB-4184-AB72-DD0EF15E3C65}" type="pres">
      <dgm:prSet presAssocID="{741DA64B-82E4-416E-A3C1-26D5371541A0}" presName="process" presStyleCnt="0"/>
      <dgm:spPr/>
    </dgm:pt>
    <dgm:pt modelId="{1CFF4D91-4FE3-4679-9D17-6C5113779435}" type="pres">
      <dgm:prSet presAssocID="{7E9124AB-53C0-49A8-9974-5967E5B24607}" presName="composite1" presStyleCnt="0"/>
      <dgm:spPr/>
    </dgm:pt>
    <dgm:pt modelId="{F8B8DEB3-7130-4C73-A739-0573DEA4D277}" type="pres">
      <dgm:prSet presAssocID="{7E9124AB-53C0-49A8-9974-5967E5B24607}" presName="dummyNode1" presStyleLbl="node1" presStyleIdx="0" presStyleCnt="3"/>
      <dgm:spPr/>
    </dgm:pt>
    <dgm:pt modelId="{989F32A5-7905-4903-BD30-B76173C02C51}" type="pres">
      <dgm:prSet presAssocID="{7E9124AB-53C0-49A8-9974-5967E5B24607}" presName="childNode1" presStyleLbl="bgAcc1" presStyleIdx="0" presStyleCnt="3" custScaleX="1123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B7EA9B-FD63-42F4-974A-DDF841903D20}" type="pres">
      <dgm:prSet presAssocID="{7E9124AB-53C0-49A8-9974-5967E5B24607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E333EA-1EE0-4D59-B0E2-4EA7E1A6E3C7}" type="pres">
      <dgm:prSet presAssocID="{7E9124AB-53C0-49A8-9974-5967E5B24607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5B40C0-CCCD-45EE-85FA-D8F7AA03B1A4}" type="pres">
      <dgm:prSet presAssocID="{7E9124AB-53C0-49A8-9974-5967E5B24607}" presName="connSite1" presStyleCnt="0"/>
      <dgm:spPr/>
    </dgm:pt>
    <dgm:pt modelId="{D4DF7FB3-B5B9-46B5-954B-60FC7312F00C}" type="pres">
      <dgm:prSet presAssocID="{7FE1BEB4-0F8A-4862-A7A0-8E0E0832BDF5}" presName="Name9" presStyleLbl="sibTrans2D1" presStyleIdx="0" presStyleCnt="2"/>
      <dgm:spPr/>
      <dgm:t>
        <a:bodyPr/>
        <a:lstStyle/>
        <a:p>
          <a:endParaRPr lang="ru-RU"/>
        </a:p>
      </dgm:t>
    </dgm:pt>
    <dgm:pt modelId="{3E048609-0C37-49CF-97F1-5EB3A768A560}" type="pres">
      <dgm:prSet presAssocID="{F8914A1A-C4AF-46E4-84F4-C4B10E378EA0}" presName="composite2" presStyleCnt="0"/>
      <dgm:spPr/>
    </dgm:pt>
    <dgm:pt modelId="{C8AE3111-A1FA-40F9-9B65-66EB107C866B}" type="pres">
      <dgm:prSet presAssocID="{F8914A1A-C4AF-46E4-84F4-C4B10E378EA0}" presName="dummyNode2" presStyleLbl="node1" presStyleIdx="0" presStyleCnt="3"/>
      <dgm:spPr/>
    </dgm:pt>
    <dgm:pt modelId="{02B63649-8593-442E-BCBD-E341A9994FBC}" type="pres">
      <dgm:prSet presAssocID="{F8914A1A-C4AF-46E4-84F4-C4B10E378EA0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0858C9-8473-4DB8-AC41-E628EBD0A3A2}" type="pres">
      <dgm:prSet presAssocID="{F8914A1A-C4AF-46E4-84F4-C4B10E378EA0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241A1F-48AB-4843-BB4F-29400BF00EBE}" type="pres">
      <dgm:prSet presAssocID="{F8914A1A-C4AF-46E4-84F4-C4B10E378EA0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B3E40C-2181-4238-B4C7-F732ADC48565}" type="pres">
      <dgm:prSet presAssocID="{F8914A1A-C4AF-46E4-84F4-C4B10E378EA0}" presName="connSite2" presStyleCnt="0"/>
      <dgm:spPr/>
    </dgm:pt>
    <dgm:pt modelId="{F9962077-52C1-4BE7-AEA5-F7E4E25A2038}" type="pres">
      <dgm:prSet presAssocID="{3F09819D-0BF4-41F1-9D19-A132FD568DAF}" presName="Name18" presStyleLbl="sibTrans2D1" presStyleIdx="1" presStyleCnt="2"/>
      <dgm:spPr/>
      <dgm:t>
        <a:bodyPr/>
        <a:lstStyle/>
        <a:p>
          <a:endParaRPr lang="ru-RU"/>
        </a:p>
      </dgm:t>
    </dgm:pt>
    <dgm:pt modelId="{E56FB7F8-D9C5-42BA-8DB1-1291741DCC6C}" type="pres">
      <dgm:prSet presAssocID="{10D227F4-B391-4908-B400-825DC79C4E84}" presName="composite1" presStyleCnt="0"/>
      <dgm:spPr/>
    </dgm:pt>
    <dgm:pt modelId="{A087654B-43A0-4003-82FC-1B3EB8024DFF}" type="pres">
      <dgm:prSet presAssocID="{10D227F4-B391-4908-B400-825DC79C4E84}" presName="dummyNode1" presStyleLbl="node1" presStyleIdx="1" presStyleCnt="3"/>
      <dgm:spPr/>
    </dgm:pt>
    <dgm:pt modelId="{F7556E20-228D-4416-AAFD-77CB2C100B97}" type="pres">
      <dgm:prSet presAssocID="{10D227F4-B391-4908-B400-825DC79C4E84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247700-8DCC-4354-A1D2-2BADB54C6652}" type="pres">
      <dgm:prSet presAssocID="{10D227F4-B391-4908-B400-825DC79C4E84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66E60D-786F-4C66-87CD-A97C9870283B}" type="pres">
      <dgm:prSet presAssocID="{10D227F4-B391-4908-B400-825DC79C4E84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2D799E-D678-44F9-B323-C90FAA5ECE76}" type="pres">
      <dgm:prSet presAssocID="{10D227F4-B391-4908-B400-825DC79C4E84}" presName="connSite1" presStyleCnt="0"/>
      <dgm:spPr/>
    </dgm:pt>
  </dgm:ptLst>
  <dgm:cxnLst>
    <dgm:cxn modelId="{60C66F06-F029-4F35-843F-75C5E0178C05}" type="presOf" srcId="{7FE1BEB4-0F8A-4862-A7A0-8E0E0832BDF5}" destId="{D4DF7FB3-B5B9-46B5-954B-60FC7312F00C}" srcOrd="0" destOrd="0" presId="urn:microsoft.com/office/officeart/2005/8/layout/hProcess4"/>
    <dgm:cxn modelId="{BDCD30E4-A3E5-48E9-BED7-60E6A46D21DB}" type="presOf" srcId="{3B3F7EED-2D47-4FD1-B80E-A8FDA8B63471}" destId="{FC0858C9-8473-4DB8-AC41-E628EBD0A3A2}" srcOrd="1" destOrd="1" presId="urn:microsoft.com/office/officeart/2005/8/layout/hProcess4"/>
    <dgm:cxn modelId="{09D9E4FC-B37A-4133-A4DA-001929A26798}" srcId="{741DA64B-82E4-416E-A3C1-26D5371541A0}" destId="{10D227F4-B391-4908-B400-825DC79C4E84}" srcOrd="2" destOrd="0" parTransId="{8C73549E-DF00-4B77-976D-74E7A667CCC6}" sibTransId="{D117A6CF-4728-4590-98AD-B3717F453FCE}"/>
    <dgm:cxn modelId="{9B740B3A-E1F7-4138-AD74-61A2AD942DCF}" type="presOf" srcId="{3B3F7EED-2D47-4FD1-B80E-A8FDA8B63471}" destId="{02B63649-8593-442E-BCBD-E341A9994FBC}" srcOrd="0" destOrd="1" presId="urn:microsoft.com/office/officeart/2005/8/layout/hProcess4"/>
    <dgm:cxn modelId="{3A392B9F-4914-44D7-B5DF-F063A2BC20DD}" type="presOf" srcId="{8EA3B7CA-4894-45C7-8E5B-28A427120388}" destId="{FC0858C9-8473-4DB8-AC41-E628EBD0A3A2}" srcOrd="1" destOrd="0" presId="urn:microsoft.com/office/officeart/2005/8/layout/hProcess4"/>
    <dgm:cxn modelId="{EC891EF4-1948-4AC2-A104-2E4C1ABB02EB}" srcId="{7E9124AB-53C0-49A8-9974-5967E5B24607}" destId="{10B994D4-6E82-4A56-96AD-A6DE72910FE0}" srcOrd="1" destOrd="0" parTransId="{938A5D06-CF63-4257-8920-B2C264D8F96B}" sibTransId="{8F6FB4A9-8BDA-4980-A8C4-4C89DCADD52B}"/>
    <dgm:cxn modelId="{4D8632B5-D6CB-472C-8897-60C18E5E3A9B}" type="presOf" srcId="{5915C204-063F-4297-8C10-26EDDDCAB23B}" destId="{F7556E20-228D-4416-AAFD-77CB2C100B97}" srcOrd="0" destOrd="1" presId="urn:microsoft.com/office/officeart/2005/8/layout/hProcess4"/>
    <dgm:cxn modelId="{5E9E4745-4812-47F1-B40D-8982230D7FB1}" type="presOf" srcId="{8EA3B7CA-4894-45C7-8E5B-28A427120388}" destId="{02B63649-8593-442E-BCBD-E341A9994FBC}" srcOrd="0" destOrd="0" presId="urn:microsoft.com/office/officeart/2005/8/layout/hProcess4"/>
    <dgm:cxn modelId="{622C3C8E-393B-4C02-8A3B-6972028768B5}" type="presOf" srcId="{0803F399-CB05-4CAA-9AF5-8C7932D40F30}" destId="{70247700-8DCC-4354-A1D2-2BADB54C6652}" srcOrd="1" destOrd="0" presId="urn:microsoft.com/office/officeart/2005/8/layout/hProcess4"/>
    <dgm:cxn modelId="{E3A5622A-8678-4149-8BA3-211EA04DB4BF}" srcId="{F8914A1A-C4AF-46E4-84F4-C4B10E378EA0}" destId="{3B3F7EED-2D47-4FD1-B80E-A8FDA8B63471}" srcOrd="1" destOrd="0" parTransId="{59173FA8-71C9-475D-8DF4-0CDB56FFFA49}" sibTransId="{B62D686D-A2A1-4505-A32B-CE8CA80F4B08}"/>
    <dgm:cxn modelId="{45FAADA8-8331-4ACA-BD77-A5DF5CABA31B}" srcId="{F8914A1A-C4AF-46E4-84F4-C4B10E378EA0}" destId="{8EA3B7CA-4894-45C7-8E5B-28A427120388}" srcOrd="0" destOrd="0" parTransId="{BF05A4B9-46FB-4FDD-97B3-88D78A1141A6}" sibTransId="{EF6F73E1-6385-4395-A24D-F308C3F0E9EB}"/>
    <dgm:cxn modelId="{17072F13-F05D-46B7-B334-8D96271BA155}" type="presOf" srcId="{741DA64B-82E4-416E-A3C1-26D5371541A0}" destId="{3BBC965E-8CE7-4749-839B-72BDC35CC7C9}" srcOrd="0" destOrd="0" presId="urn:microsoft.com/office/officeart/2005/8/layout/hProcess4"/>
    <dgm:cxn modelId="{4D9A5708-1F7F-49C2-B548-F99A4CCD5F35}" type="presOf" srcId="{7E9124AB-53C0-49A8-9974-5967E5B24607}" destId="{96E333EA-1EE0-4D59-B0E2-4EA7E1A6E3C7}" srcOrd="0" destOrd="0" presId="urn:microsoft.com/office/officeart/2005/8/layout/hProcess4"/>
    <dgm:cxn modelId="{690C9CA8-C920-48C0-BA5E-04E8CA9755DF}" type="presOf" srcId="{0803F399-CB05-4CAA-9AF5-8C7932D40F30}" destId="{F7556E20-228D-4416-AAFD-77CB2C100B97}" srcOrd="0" destOrd="0" presId="urn:microsoft.com/office/officeart/2005/8/layout/hProcess4"/>
    <dgm:cxn modelId="{D3DB60E8-CE48-454D-8D10-92F2216A1824}" srcId="{741DA64B-82E4-416E-A3C1-26D5371541A0}" destId="{7E9124AB-53C0-49A8-9974-5967E5B24607}" srcOrd="0" destOrd="0" parTransId="{EE9AB3A7-7D8C-44D3-8244-203BCC68CEC1}" sibTransId="{7FE1BEB4-0F8A-4862-A7A0-8E0E0832BDF5}"/>
    <dgm:cxn modelId="{B7931883-9597-4623-9362-EDA54882DF6D}" type="presOf" srcId="{10B994D4-6E82-4A56-96AD-A6DE72910FE0}" destId="{A3B7EA9B-FD63-42F4-974A-DDF841903D20}" srcOrd="1" destOrd="1" presId="urn:microsoft.com/office/officeart/2005/8/layout/hProcess4"/>
    <dgm:cxn modelId="{74DC730C-8D9C-417F-9B77-614056AA3DED}" type="presOf" srcId="{66EE57BE-01C2-4EAE-99FF-FB34E12E9F77}" destId="{A3B7EA9B-FD63-42F4-974A-DDF841903D20}" srcOrd="1" destOrd="0" presId="urn:microsoft.com/office/officeart/2005/8/layout/hProcess4"/>
    <dgm:cxn modelId="{E37846D5-4255-4251-893A-5BA0199C4759}" type="presOf" srcId="{66EE57BE-01C2-4EAE-99FF-FB34E12E9F77}" destId="{989F32A5-7905-4903-BD30-B76173C02C51}" srcOrd="0" destOrd="0" presId="urn:microsoft.com/office/officeart/2005/8/layout/hProcess4"/>
    <dgm:cxn modelId="{552C41E3-F6C7-418B-B68E-6BCEB7CB60C3}" type="presOf" srcId="{F8914A1A-C4AF-46E4-84F4-C4B10E378EA0}" destId="{18241A1F-48AB-4843-BB4F-29400BF00EBE}" srcOrd="0" destOrd="0" presId="urn:microsoft.com/office/officeart/2005/8/layout/hProcess4"/>
    <dgm:cxn modelId="{0AC037C9-0EB6-4962-B39C-6435B49F4B9F}" srcId="{10D227F4-B391-4908-B400-825DC79C4E84}" destId="{5915C204-063F-4297-8C10-26EDDDCAB23B}" srcOrd="1" destOrd="0" parTransId="{E92C4853-C9E0-4071-B593-2A4FF0B22399}" sibTransId="{B1F61575-F4C9-4CF6-B5E0-C90488ABDC41}"/>
    <dgm:cxn modelId="{A2EADBAD-8A77-4454-9290-80BB334A63FB}" type="presOf" srcId="{10B994D4-6E82-4A56-96AD-A6DE72910FE0}" destId="{989F32A5-7905-4903-BD30-B76173C02C51}" srcOrd="0" destOrd="1" presId="urn:microsoft.com/office/officeart/2005/8/layout/hProcess4"/>
    <dgm:cxn modelId="{C5BB4CFD-8DE5-4709-9A53-544B8EE586EC}" srcId="{10D227F4-B391-4908-B400-825DC79C4E84}" destId="{0803F399-CB05-4CAA-9AF5-8C7932D40F30}" srcOrd="0" destOrd="0" parTransId="{7867D736-1464-43B5-A950-848D3F8DA005}" sibTransId="{DDF4841A-D16D-4EB1-8346-D1BFD7A2516F}"/>
    <dgm:cxn modelId="{1E5B6092-933D-4AA0-A4CF-35B57A3128BB}" type="presOf" srcId="{10D227F4-B391-4908-B400-825DC79C4E84}" destId="{C866E60D-786F-4C66-87CD-A97C9870283B}" srcOrd="0" destOrd="0" presId="urn:microsoft.com/office/officeart/2005/8/layout/hProcess4"/>
    <dgm:cxn modelId="{8D1889B3-80B6-4E61-9BD6-83CAA9AFF680}" srcId="{741DA64B-82E4-416E-A3C1-26D5371541A0}" destId="{F8914A1A-C4AF-46E4-84F4-C4B10E378EA0}" srcOrd="1" destOrd="0" parTransId="{A2DD4A59-56CF-4C77-BD93-773EB870A179}" sibTransId="{3F09819D-0BF4-41F1-9D19-A132FD568DAF}"/>
    <dgm:cxn modelId="{FD75D4DD-6F18-4CE6-B9CC-BE21E92F2690}" type="presOf" srcId="{3F09819D-0BF4-41F1-9D19-A132FD568DAF}" destId="{F9962077-52C1-4BE7-AEA5-F7E4E25A2038}" srcOrd="0" destOrd="0" presId="urn:microsoft.com/office/officeart/2005/8/layout/hProcess4"/>
    <dgm:cxn modelId="{21F9DD87-392A-4FAF-AD1B-0332ECCA4253}" srcId="{7E9124AB-53C0-49A8-9974-5967E5B24607}" destId="{66EE57BE-01C2-4EAE-99FF-FB34E12E9F77}" srcOrd="0" destOrd="0" parTransId="{9595137F-84FB-46DE-83B7-ED0A651AEAA7}" sibTransId="{5C6052E9-615C-4BD1-B271-BDB605CD4331}"/>
    <dgm:cxn modelId="{96CE13AD-4FCF-4B4D-AA30-71CCC84E05F7}" type="presOf" srcId="{5915C204-063F-4297-8C10-26EDDDCAB23B}" destId="{70247700-8DCC-4354-A1D2-2BADB54C6652}" srcOrd="1" destOrd="1" presId="urn:microsoft.com/office/officeart/2005/8/layout/hProcess4"/>
    <dgm:cxn modelId="{593AE92E-6252-4D0E-B75D-B0005CC5413F}" type="presParOf" srcId="{3BBC965E-8CE7-4749-839B-72BDC35CC7C9}" destId="{28B09C99-154F-473D-A025-E379C07D3904}" srcOrd="0" destOrd="0" presId="urn:microsoft.com/office/officeart/2005/8/layout/hProcess4"/>
    <dgm:cxn modelId="{07AC407E-5971-43D4-9B3E-8A8B340778D8}" type="presParOf" srcId="{3BBC965E-8CE7-4749-839B-72BDC35CC7C9}" destId="{032D5C0F-370A-4696-95B3-C3DA5E09F124}" srcOrd="1" destOrd="0" presId="urn:microsoft.com/office/officeart/2005/8/layout/hProcess4"/>
    <dgm:cxn modelId="{96D17BB7-7B10-492F-BD86-0E46E2A7D3E7}" type="presParOf" srcId="{3BBC965E-8CE7-4749-839B-72BDC35CC7C9}" destId="{D94B9F31-6AFB-4184-AB72-DD0EF15E3C65}" srcOrd="2" destOrd="0" presId="urn:microsoft.com/office/officeart/2005/8/layout/hProcess4"/>
    <dgm:cxn modelId="{C36E309D-C25F-456D-B0B4-EF94BD68F75D}" type="presParOf" srcId="{D94B9F31-6AFB-4184-AB72-DD0EF15E3C65}" destId="{1CFF4D91-4FE3-4679-9D17-6C5113779435}" srcOrd="0" destOrd="0" presId="urn:microsoft.com/office/officeart/2005/8/layout/hProcess4"/>
    <dgm:cxn modelId="{D8528249-FED1-4CC0-859D-6D1FA9368D1D}" type="presParOf" srcId="{1CFF4D91-4FE3-4679-9D17-6C5113779435}" destId="{F8B8DEB3-7130-4C73-A739-0573DEA4D277}" srcOrd="0" destOrd="0" presId="urn:microsoft.com/office/officeart/2005/8/layout/hProcess4"/>
    <dgm:cxn modelId="{3F9A273F-96B7-4705-96F8-EAE35563EB8E}" type="presParOf" srcId="{1CFF4D91-4FE3-4679-9D17-6C5113779435}" destId="{989F32A5-7905-4903-BD30-B76173C02C51}" srcOrd="1" destOrd="0" presId="urn:microsoft.com/office/officeart/2005/8/layout/hProcess4"/>
    <dgm:cxn modelId="{A0A4E177-92B8-47FE-9FD7-C407C786BCA0}" type="presParOf" srcId="{1CFF4D91-4FE3-4679-9D17-6C5113779435}" destId="{A3B7EA9B-FD63-42F4-974A-DDF841903D20}" srcOrd="2" destOrd="0" presId="urn:microsoft.com/office/officeart/2005/8/layout/hProcess4"/>
    <dgm:cxn modelId="{60083585-1C8C-4EEB-A73D-9F809A1C8B54}" type="presParOf" srcId="{1CFF4D91-4FE3-4679-9D17-6C5113779435}" destId="{96E333EA-1EE0-4D59-B0E2-4EA7E1A6E3C7}" srcOrd="3" destOrd="0" presId="urn:microsoft.com/office/officeart/2005/8/layout/hProcess4"/>
    <dgm:cxn modelId="{71A0A24A-0726-41B5-B3E1-D461FCC07618}" type="presParOf" srcId="{1CFF4D91-4FE3-4679-9D17-6C5113779435}" destId="{D95B40C0-CCCD-45EE-85FA-D8F7AA03B1A4}" srcOrd="4" destOrd="0" presId="urn:microsoft.com/office/officeart/2005/8/layout/hProcess4"/>
    <dgm:cxn modelId="{90A86168-516C-4314-8C2E-07EF3B95AF04}" type="presParOf" srcId="{D94B9F31-6AFB-4184-AB72-DD0EF15E3C65}" destId="{D4DF7FB3-B5B9-46B5-954B-60FC7312F00C}" srcOrd="1" destOrd="0" presId="urn:microsoft.com/office/officeart/2005/8/layout/hProcess4"/>
    <dgm:cxn modelId="{C61ECB85-561A-4A4C-A481-4815A5B493C3}" type="presParOf" srcId="{D94B9F31-6AFB-4184-AB72-DD0EF15E3C65}" destId="{3E048609-0C37-49CF-97F1-5EB3A768A560}" srcOrd="2" destOrd="0" presId="urn:microsoft.com/office/officeart/2005/8/layout/hProcess4"/>
    <dgm:cxn modelId="{6FA53A36-9DD1-48A7-9025-9DEF48D406E6}" type="presParOf" srcId="{3E048609-0C37-49CF-97F1-5EB3A768A560}" destId="{C8AE3111-A1FA-40F9-9B65-66EB107C866B}" srcOrd="0" destOrd="0" presId="urn:microsoft.com/office/officeart/2005/8/layout/hProcess4"/>
    <dgm:cxn modelId="{2BF94A1B-FC10-4452-B9A0-CA294E5EE98C}" type="presParOf" srcId="{3E048609-0C37-49CF-97F1-5EB3A768A560}" destId="{02B63649-8593-442E-BCBD-E341A9994FBC}" srcOrd="1" destOrd="0" presId="urn:microsoft.com/office/officeart/2005/8/layout/hProcess4"/>
    <dgm:cxn modelId="{2DB4F201-D792-4549-A672-A0D72F6A7BD9}" type="presParOf" srcId="{3E048609-0C37-49CF-97F1-5EB3A768A560}" destId="{FC0858C9-8473-4DB8-AC41-E628EBD0A3A2}" srcOrd="2" destOrd="0" presId="urn:microsoft.com/office/officeart/2005/8/layout/hProcess4"/>
    <dgm:cxn modelId="{228254BB-CACE-4BDB-A9BC-D2D5ED61B4A6}" type="presParOf" srcId="{3E048609-0C37-49CF-97F1-5EB3A768A560}" destId="{18241A1F-48AB-4843-BB4F-29400BF00EBE}" srcOrd="3" destOrd="0" presId="urn:microsoft.com/office/officeart/2005/8/layout/hProcess4"/>
    <dgm:cxn modelId="{8697A714-D516-4F8A-AD95-BFE39F3CDBD4}" type="presParOf" srcId="{3E048609-0C37-49CF-97F1-5EB3A768A560}" destId="{9BB3E40C-2181-4238-B4C7-F732ADC48565}" srcOrd="4" destOrd="0" presId="urn:microsoft.com/office/officeart/2005/8/layout/hProcess4"/>
    <dgm:cxn modelId="{2FCA718E-0833-48B4-9575-F2BC3C257A73}" type="presParOf" srcId="{D94B9F31-6AFB-4184-AB72-DD0EF15E3C65}" destId="{F9962077-52C1-4BE7-AEA5-F7E4E25A2038}" srcOrd="3" destOrd="0" presId="urn:microsoft.com/office/officeart/2005/8/layout/hProcess4"/>
    <dgm:cxn modelId="{9E66FDC2-1E12-4AC7-8272-033CC0D58FE3}" type="presParOf" srcId="{D94B9F31-6AFB-4184-AB72-DD0EF15E3C65}" destId="{E56FB7F8-D9C5-42BA-8DB1-1291741DCC6C}" srcOrd="4" destOrd="0" presId="urn:microsoft.com/office/officeart/2005/8/layout/hProcess4"/>
    <dgm:cxn modelId="{E3385025-0F95-4B55-A4A7-1F99C9D42AAF}" type="presParOf" srcId="{E56FB7F8-D9C5-42BA-8DB1-1291741DCC6C}" destId="{A087654B-43A0-4003-82FC-1B3EB8024DFF}" srcOrd="0" destOrd="0" presId="urn:microsoft.com/office/officeart/2005/8/layout/hProcess4"/>
    <dgm:cxn modelId="{92D92D86-9F95-481F-874C-2FD97B8A99A8}" type="presParOf" srcId="{E56FB7F8-D9C5-42BA-8DB1-1291741DCC6C}" destId="{F7556E20-228D-4416-AAFD-77CB2C100B97}" srcOrd="1" destOrd="0" presId="urn:microsoft.com/office/officeart/2005/8/layout/hProcess4"/>
    <dgm:cxn modelId="{123BADD7-F959-40DD-A0E0-36BC19090465}" type="presParOf" srcId="{E56FB7F8-D9C5-42BA-8DB1-1291741DCC6C}" destId="{70247700-8DCC-4354-A1D2-2BADB54C6652}" srcOrd="2" destOrd="0" presId="urn:microsoft.com/office/officeart/2005/8/layout/hProcess4"/>
    <dgm:cxn modelId="{9D9BDECC-E26B-42CA-8C9B-0EDFB662CEFA}" type="presParOf" srcId="{E56FB7F8-D9C5-42BA-8DB1-1291741DCC6C}" destId="{C866E60D-786F-4C66-87CD-A97C9870283B}" srcOrd="3" destOrd="0" presId="urn:microsoft.com/office/officeart/2005/8/layout/hProcess4"/>
    <dgm:cxn modelId="{4AA82CDC-3B8F-4E6F-BFFD-C8E2254E8FCF}" type="presParOf" srcId="{E56FB7F8-D9C5-42BA-8DB1-1291741DCC6C}" destId="{242D799E-D678-44F9-B323-C90FAA5ECE76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9F32A5-7905-4903-BD30-B76173C02C51}">
      <dsp:nvSpPr>
        <dsp:cNvPr id="0" name=""/>
        <dsp:cNvSpPr/>
      </dsp:nvSpPr>
      <dsp:spPr>
        <a:xfrm>
          <a:off x="849" y="680105"/>
          <a:ext cx="1742450" cy="1279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Change in R&amp;D expenditures</a:t>
          </a:r>
          <a:endParaRPr lang="ru-RU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Change in costs of employees</a:t>
          </a:r>
          <a:endParaRPr lang="ru-RU" sz="1200" kern="1200">
            <a:latin typeface="+mn-lt"/>
          </a:endParaRPr>
        </a:p>
      </dsp:txBody>
      <dsp:txXfrm>
        <a:off x="849" y="680105"/>
        <a:ext cx="1742450" cy="1005418"/>
      </dsp:txXfrm>
    </dsp:sp>
    <dsp:sp modelId="{D4DF7FB3-B5B9-46B5-954B-60FC7312F00C}">
      <dsp:nvSpPr>
        <dsp:cNvPr id="0" name=""/>
        <dsp:cNvSpPr/>
      </dsp:nvSpPr>
      <dsp:spPr>
        <a:xfrm>
          <a:off x="958478" y="949869"/>
          <a:ext cx="1762670" cy="1762670"/>
        </a:xfrm>
        <a:prstGeom prst="leftCircularArrow">
          <a:avLst>
            <a:gd name="adj1" fmla="val 3446"/>
            <a:gd name="adj2" fmla="val 426972"/>
            <a:gd name="adj3" fmla="val 2202483"/>
            <a:gd name="adj4" fmla="val 9024489"/>
            <a:gd name="adj5" fmla="val 40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E333EA-1EE0-4D59-B0E2-4EA7E1A6E3C7}">
      <dsp:nvSpPr>
        <dsp:cNvPr id="0" name=""/>
        <dsp:cNvSpPr/>
      </dsp:nvSpPr>
      <dsp:spPr>
        <a:xfrm>
          <a:off x="441116" y="1685523"/>
          <a:ext cx="1379067" cy="548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  <a:r>
            <a:rPr lang="en-US" sz="1200" b="1" kern="1200"/>
            <a:t>Input during the crisis</a:t>
          </a:r>
          <a:endParaRPr lang="ru-RU" sz="1200" b="1" kern="1200"/>
        </a:p>
      </dsp:txBody>
      <dsp:txXfrm>
        <a:off x="441116" y="1685523"/>
        <a:ext cx="1379067" cy="548409"/>
      </dsp:txXfrm>
    </dsp:sp>
    <dsp:sp modelId="{02B63649-8593-442E-BCBD-E341A9994FBC}">
      <dsp:nvSpPr>
        <dsp:cNvPr id="0" name=""/>
        <dsp:cNvSpPr/>
      </dsp:nvSpPr>
      <dsp:spPr>
        <a:xfrm>
          <a:off x="2109400" y="680105"/>
          <a:ext cx="1551451" cy="1279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Number of patents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Productivity of employees </a:t>
          </a:r>
          <a:endParaRPr lang="ru-RU" sz="800" kern="1200"/>
        </a:p>
      </dsp:txBody>
      <dsp:txXfrm>
        <a:off x="2109400" y="954309"/>
        <a:ext cx="1551451" cy="1005418"/>
      </dsp:txXfrm>
    </dsp:sp>
    <dsp:sp modelId="{F9962077-52C1-4BE7-AEA5-F7E4E25A2038}">
      <dsp:nvSpPr>
        <dsp:cNvPr id="0" name=""/>
        <dsp:cNvSpPr/>
      </dsp:nvSpPr>
      <dsp:spPr>
        <a:xfrm>
          <a:off x="2958601" y="-122880"/>
          <a:ext cx="1960911" cy="1960911"/>
        </a:xfrm>
        <a:prstGeom prst="circularArrow">
          <a:avLst>
            <a:gd name="adj1" fmla="val 3097"/>
            <a:gd name="adj2" fmla="val 380651"/>
            <a:gd name="adj3" fmla="val 19443838"/>
            <a:gd name="adj4" fmla="val 12575511"/>
            <a:gd name="adj5" fmla="val 361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241A1F-48AB-4843-BB4F-29400BF00EBE}">
      <dsp:nvSpPr>
        <dsp:cNvPr id="0" name=""/>
        <dsp:cNvSpPr/>
      </dsp:nvSpPr>
      <dsp:spPr>
        <a:xfrm>
          <a:off x="2454167" y="405900"/>
          <a:ext cx="1379067" cy="548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Output after the crisis</a:t>
          </a:r>
          <a:endParaRPr lang="ru-RU" sz="1200" b="1" kern="1200"/>
        </a:p>
      </dsp:txBody>
      <dsp:txXfrm>
        <a:off x="2454167" y="405900"/>
        <a:ext cx="1379067" cy="548409"/>
      </dsp:txXfrm>
    </dsp:sp>
    <dsp:sp modelId="{F7556E20-228D-4416-AAFD-77CB2C100B97}">
      <dsp:nvSpPr>
        <dsp:cNvPr id="0" name=""/>
        <dsp:cNvSpPr/>
      </dsp:nvSpPr>
      <dsp:spPr>
        <a:xfrm>
          <a:off x="4122451" y="680105"/>
          <a:ext cx="1551451" cy="1279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Economic Value Added</a:t>
          </a:r>
          <a:endParaRPr lang="ru-RU" sz="1200" kern="1200"/>
        </a:p>
      </dsp:txBody>
      <dsp:txXfrm>
        <a:off x="4122451" y="680105"/>
        <a:ext cx="1551451" cy="1005418"/>
      </dsp:txXfrm>
    </dsp:sp>
    <dsp:sp modelId="{C866E60D-786F-4C66-87CD-A97C9870283B}">
      <dsp:nvSpPr>
        <dsp:cNvPr id="0" name=""/>
        <dsp:cNvSpPr/>
      </dsp:nvSpPr>
      <dsp:spPr>
        <a:xfrm>
          <a:off x="4467218" y="1685523"/>
          <a:ext cx="1379067" cy="548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Outcome after the crisis</a:t>
          </a:r>
          <a:endParaRPr lang="ru-RU" sz="1200" b="1" kern="1200"/>
        </a:p>
      </dsp:txBody>
      <dsp:txXfrm>
        <a:off x="4467218" y="1685523"/>
        <a:ext cx="1379067" cy="548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0E066-66D9-45F5-A20F-EB95891F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3</Pages>
  <Words>695</Words>
  <Characters>4411</Characters>
  <Application>Microsoft Office Word</Application>
  <DocSecurity>0</DocSecurity>
  <Lines>245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Быков</dc:creator>
  <cp:keywords/>
  <dc:description/>
  <cp:lastModifiedBy>Mariia</cp:lastModifiedBy>
  <cp:revision>17</cp:revision>
  <cp:lastPrinted>2014-04-15T10:10:00Z</cp:lastPrinted>
  <dcterms:created xsi:type="dcterms:W3CDTF">2014-11-07T03:39:00Z</dcterms:created>
  <dcterms:modified xsi:type="dcterms:W3CDTF">2014-11-10T06:44:00Z</dcterms:modified>
</cp:coreProperties>
</file>